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B182F" w14:textId="264FFF16" w:rsidR="00700EF5" w:rsidRPr="00CE0424" w:rsidRDefault="00700EF5" w:rsidP="00700EF5">
      <w:pPr>
        <w:pStyle w:val="3GPPHeader"/>
        <w:spacing w:after="60"/>
        <w:rPr>
          <w:sz w:val="32"/>
          <w:szCs w:val="32"/>
          <w:highlight w:val="yellow"/>
        </w:rPr>
      </w:pPr>
      <w:bookmarkStart w:id="0" w:name="_Hlk498001489"/>
      <w:bookmarkEnd w:id="0"/>
      <w:r w:rsidRPr="00CE0424">
        <w:t>3GPP TSG-RAN WG</w:t>
      </w:r>
      <w:r>
        <w:t>2</w:t>
      </w:r>
      <w:r w:rsidRPr="00CE0424">
        <w:t xml:space="preserve"> #</w:t>
      </w:r>
      <w:r w:rsidR="006D1E26">
        <w:t>100</w:t>
      </w:r>
      <w:r w:rsidRPr="00CE0424">
        <w:tab/>
      </w:r>
      <w:r w:rsidRPr="00CE0424">
        <w:rPr>
          <w:sz w:val="32"/>
          <w:szCs w:val="32"/>
        </w:rPr>
        <w:t>Tdoc R2-</w:t>
      </w:r>
      <w:r w:rsidR="0022256E" w:rsidRPr="00CE0424">
        <w:rPr>
          <w:sz w:val="32"/>
          <w:szCs w:val="32"/>
        </w:rPr>
        <w:t>1</w:t>
      </w:r>
      <w:r w:rsidR="0022256E">
        <w:rPr>
          <w:sz w:val="32"/>
          <w:szCs w:val="32"/>
        </w:rPr>
        <w:t>7</w:t>
      </w:r>
      <w:r w:rsidR="0022256E" w:rsidRPr="0022256E">
        <w:rPr>
          <w:sz w:val="32"/>
          <w:szCs w:val="32"/>
        </w:rPr>
        <w:t>13054</w:t>
      </w:r>
    </w:p>
    <w:p w14:paraId="0FBB7C3F" w14:textId="774CDA79"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F42C5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269A4711" w14:textId="77777777" w:rsidR="00E90E49" w:rsidRPr="00CE0424" w:rsidRDefault="00E90E49" w:rsidP="00357380">
      <w:pPr>
        <w:pStyle w:val="3GPPHeader"/>
      </w:pPr>
    </w:p>
    <w:p w14:paraId="07A52A46" w14:textId="5AFD7D4A" w:rsidR="00E90E49" w:rsidRPr="00AA5BDF" w:rsidRDefault="00E90E49" w:rsidP="00311702">
      <w:pPr>
        <w:pStyle w:val="3GPPHeader"/>
        <w:rPr>
          <w:sz w:val="22"/>
          <w:szCs w:val="22"/>
          <w:lang w:val="sv-SE"/>
        </w:rPr>
      </w:pPr>
      <w:r w:rsidRPr="00AA5BDF">
        <w:rPr>
          <w:sz w:val="22"/>
          <w:szCs w:val="22"/>
          <w:lang w:val="sv-SE"/>
        </w:rPr>
        <w:t>Agenda Item:</w:t>
      </w:r>
      <w:r w:rsidRPr="00AA5BDF">
        <w:rPr>
          <w:sz w:val="22"/>
          <w:szCs w:val="22"/>
          <w:lang w:val="sv-SE"/>
        </w:rPr>
        <w:tab/>
      </w:r>
      <w:r w:rsidR="0022256E" w:rsidRPr="00AA5BDF">
        <w:rPr>
          <w:sz w:val="22"/>
          <w:szCs w:val="22"/>
          <w:lang w:val="sv-SE"/>
        </w:rPr>
        <w:t>9.14.2</w:t>
      </w:r>
    </w:p>
    <w:p w14:paraId="665383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CF2C2DB" w14:textId="14D61AC9" w:rsidR="00E90E49" w:rsidRPr="00CE0424" w:rsidRDefault="003D3C45" w:rsidP="00311702">
      <w:pPr>
        <w:pStyle w:val="3GPPHeader"/>
        <w:rPr>
          <w:sz w:val="22"/>
          <w:szCs w:val="22"/>
        </w:rPr>
      </w:pPr>
      <w:r>
        <w:rPr>
          <w:sz w:val="22"/>
          <w:szCs w:val="22"/>
        </w:rPr>
        <w:t>Title:</w:t>
      </w:r>
      <w:r w:rsidR="00E90E49" w:rsidRPr="00CE0424">
        <w:rPr>
          <w:sz w:val="22"/>
          <w:szCs w:val="22"/>
        </w:rPr>
        <w:tab/>
      </w:r>
      <w:r w:rsidR="000637FB" w:rsidRPr="000637FB">
        <w:rPr>
          <w:sz w:val="22"/>
          <w:szCs w:val="22"/>
        </w:rPr>
        <w:t>Remaining general aspects of early data transmission</w:t>
      </w:r>
    </w:p>
    <w:p w14:paraId="1AC3F6A3" w14:textId="67DAEAC0" w:rsidR="00665EE9" w:rsidRDefault="00E90E49" w:rsidP="00665EE9">
      <w:pPr>
        <w:pStyle w:val="3GPPHeader"/>
        <w:rPr>
          <w:b w:val="0"/>
          <w:color w:val="FF0000"/>
          <w:sz w:val="22"/>
          <w:lang w:val="en-US"/>
        </w:rPr>
      </w:pPr>
      <w:r w:rsidRPr="00CE0424">
        <w:rPr>
          <w:sz w:val="22"/>
          <w:szCs w:val="22"/>
        </w:rPr>
        <w:t>Document for:</w:t>
      </w:r>
      <w:r w:rsidRPr="00CE0424">
        <w:rPr>
          <w:sz w:val="22"/>
          <w:szCs w:val="22"/>
        </w:rPr>
        <w:tab/>
      </w:r>
      <w:r w:rsidRPr="0022256E">
        <w:rPr>
          <w:sz w:val="22"/>
          <w:szCs w:val="22"/>
        </w:rPr>
        <w:t>Discussion, Decision</w:t>
      </w:r>
    </w:p>
    <w:p w14:paraId="6AD994A4" w14:textId="77777777" w:rsidR="00C24345" w:rsidRDefault="00E90E49" w:rsidP="00A2052C">
      <w:pPr>
        <w:pStyle w:val="Heading1"/>
      </w:pPr>
      <w:r w:rsidRPr="00CE0424">
        <w:t>Introduction</w:t>
      </w:r>
    </w:p>
    <w:p w14:paraId="5376F5FF" w14:textId="33859214" w:rsidR="00613A5A" w:rsidRDefault="00613A5A" w:rsidP="00A2052C">
      <w:r>
        <w:t>In this contribution</w:t>
      </w:r>
      <w:r w:rsidR="002A2086">
        <w:t>,</w:t>
      </w:r>
      <w:r>
        <w:t xml:space="preserve"> we discuss some aspects of Early Data Transmission (EDT) </w:t>
      </w:r>
      <w:r w:rsidR="005B6BC3">
        <w:t xml:space="preserve">for LTE-MTC and NB-IoT </w:t>
      </w:r>
      <w:r>
        <w:t xml:space="preserve">which apply to both UP and CP solutions. The discussed topics include the (N)PRACH partitioning or pooling, UL grant allocation mechanism and the supported TB sizes. </w:t>
      </w:r>
    </w:p>
    <w:p w14:paraId="38285815" w14:textId="21CFEBB6" w:rsidR="00A2052C" w:rsidRDefault="00613A5A" w:rsidP="00A2052C">
      <w:r>
        <w:t>RAN2 has made the following ag</w:t>
      </w:r>
      <w:r w:rsidR="007A7D63">
        <w:t>reements</w:t>
      </w:r>
      <w:r>
        <w:t xml:space="preserve"> regarding the topics discussed in this paper</w:t>
      </w:r>
      <w:r w:rsidR="007A7D63">
        <w:t>:</w:t>
      </w:r>
    </w:p>
    <w:tbl>
      <w:tblPr>
        <w:tblStyle w:val="TableGrid"/>
        <w:tblW w:w="0" w:type="auto"/>
        <w:tblLook w:val="04A0" w:firstRow="1" w:lastRow="0" w:firstColumn="1" w:lastColumn="0" w:noHBand="0" w:noVBand="1"/>
      </w:tblPr>
      <w:tblGrid>
        <w:gridCol w:w="9629"/>
      </w:tblGrid>
      <w:tr w:rsidR="00613A5A" w14:paraId="69AAC94A" w14:textId="77777777" w:rsidTr="00613A5A">
        <w:tc>
          <w:tcPr>
            <w:tcW w:w="9629" w:type="dxa"/>
          </w:tcPr>
          <w:p w14:paraId="0D6FBC70" w14:textId="77777777" w:rsidR="00613A5A" w:rsidRPr="00587CC8" w:rsidRDefault="00613A5A" w:rsidP="00613A5A">
            <w:pPr>
              <w:numPr>
                <w:ilvl w:val="0"/>
                <w:numId w:val="21"/>
              </w:numPr>
              <w:tabs>
                <w:tab w:val="left" w:pos="567"/>
              </w:tabs>
              <w:overflowPunct/>
              <w:autoSpaceDE/>
              <w:autoSpaceDN/>
              <w:snapToGrid w:val="0"/>
              <w:spacing w:after="0"/>
              <w:ind w:left="567" w:hanging="207"/>
              <w:jc w:val="left"/>
              <w:textAlignment w:val="auto"/>
            </w:pPr>
            <w:r w:rsidRPr="007A7D63">
              <w:rPr>
                <w:rFonts w:cs="Arial"/>
              </w:rPr>
              <w:t>PRACH partitioning is used to indicate UE’s intention to use early data transmission in Msg3. Backward compatibility shall be preserved. FFS: details on the PRACH pool, e.g., preamble/time/frequency/carrier domain of PRACH partitioning.</w:t>
            </w:r>
          </w:p>
          <w:p w14:paraId="24DCF7BE" w14:textId="05626815" w:rsidR="00613A5A" w:rsidRPr="00947B5B" w:rsidRDefault="00613A5A" w:rsidP="00947B5B">
            <w:pPr>
              <w:numPr>
                <w:ilvl w:val="0"/>
                <w:numId w:val="21"/>
              </w:numPr>
              <w:tabs>
                <w:tab w:val="left" w:pos="567"/>
              </w:tabs>
              <w:overflowPunct/>
              <w:autoSpaceDE/>
              <w:autoSpaceDN/>
              <w:snapToGrid w:val="0"/>
              <w:spacing w:after="0"/>
              <w:ind w:left="567" w:hanging="207"/>
              <w:jc w:val="left"/>
              <w:textAlignment w:val="auto"/>
              <w:rPr>
                <w:rFonts w:cs="Arial"/>
              </w:rPr>
            </w:pPr>
            <w:r w:rsidRPr="00975678">
              <w:rPr>
                <w:rFonts w:cs="Arial"/>
              </w:rPr>
              <w:t>For CP during the UL EDT procedure, if the UE receives a grant in which data does not fit, the UE does not send the data in Msg3. For UP solution it is FFS if the EDT grant can be used for UL data if the grant is smaller than the UL data size.</w:t>
            </w:r>
          </w:p>
          <w:p w14:paraId="0FAC8D06" w14:textId="58735D6E" w:rsidR="00613A5A" w:rsidRPr="00613A5A" w:rsidRDefault="00613A5A" w:rsidP="00A2052C">
            <w:pPr>
              <w:numPr>
                <w:ilvl w:val="0"/>
                <w:numId w:val="21"/>
              </w:numPr>
              <w:tabs>
                <w:tab w:val="left" w:pos="567"/>
              </w:tabs>
              <w:overflowPunct/>
              <w:autoSpaceDE/>
              <w:autoSpaceDN/>
              <w:snapToGrid w:val="0"/>
              <w:spacing w:after="0"/>
              <w:ind w:left="567" w:hanging="207"/>
              <w:jc w:val="left"/>
              <w:textAlignment w:val="auto"/>
              <w:rPr>
                <w:rFonts w:cs="Arial"/>
              </w:rPr>
            </w:pPr>
            <w:r w:rsidRPr="00975678">
              <w:rPr>
                <w:rFonts w:cs="Arial"/>
              </w:rPr>
              <w:t>Maximum possible grant size for Msg3 is broadcast per CE. It is FFS if the UE indicates the grant size it needs for Msg3 via PRACH partitioning.</w:t>
            </w:r>
          </w:p>
        </w:tc>
      </w:tr>
    </w:tbl>
    <w:p w14:paraId="015896CF" w14:textId="77777777" w:rsidR="00613A5A" w:rsidRDefault="00613A5A" w:rsidP="00A2052C"/>
    <w:p w14:paraId="673E5774" w14:textId="1C03305F" w:rsidR="00613A5A" w:rsidRDefault="00AF18FA" w:rsidP="00613A5A">
      <w:pPr>
        <w:tabs>
          <w:tab w:val="left" w:pos="567"/>
        </w:tabs>
        <w:overflowPunct/>
        <w:autoSpaceDE/>
        <w:autoSpaceDN/>
        <w:snapToGrid w:val="0"/>
        <w:spacing w:after="0"/>
        <w:jc w:val="left"/>
        <w:textAlignment w:val="auto"/>
        <w:rPr>
          <w:rFonts w:cs="Arial"/>
        </w:rPr>
      </w:pPr>
      <w:r>
        <w:rPr>
          <w:rFonts w:cs="Arial"/>
        </w:rPr>
        <w:t xml:space="preserve">PRACH partitioning is also discussed in email discussion </w:t>
      </w:r>
      <w:r>
        <w:t>[99bis#53][MTC/NB-IoT] EDT indication via PRACH</w:t>
      </w:r>
      <w:r>
        <w:rPr>
          <w:rFonts w:cs="Arial"/>
        </w:rPr>
        <w:t xml:space="preserve"> </w:t>
      </w:r>
      <w:r>
        <w:rPr>
          <w:rFonts w:cs="Arial"/>
        </w:rPr>
        <w:fldChar w:fldCharType="begin"/>
      </w:r>
      <w:r>
        <w:rPr>
          <w:rFonts w:cs="Arial"/>
        </w:rPr>
        <w:instrText xml:space="preserve"> REF _Ref498592637 \n \h </w:instrText>
      </w:r>
      <w:r>
        <w:rPr>
          <w:rFonts w:cs="Arial"/>
        </w:rPr>
      </w:r>
      <w:r>
        <w:rPr>
          <w:rFonts w:cs="Arial"/>
        </w:rPr>
        <w:fldChar w:fldCharType="separate"/>
      </w:r>
      <w:r>
        <w:rPr>
          <w:rFonts w:cs="Arial"/>
        </w:rPr>
        <w:t>[1]</w:t>
      </w:r>
      <w:r>
        <w:rPr>
          <w:rFonts w:cs="Arial"/>
        </w:rPr>
        <w:fldChar w:fldCharType="end"/>
      </w:r>
      <w:r>
        <w:rPr>
          <w:rFonts w:cs="Arial"/>
        </w:rPr>
        <w:t xml:space="preserve">. </w:t>
      </w:r>
      <w:r w:rsidR="00613A5A">
        <w:rPr>
          <w:rFonts w:cs="Arial"/>
        </w:rPr>
        <w:t>UP and CP solutions are discussed in more details in contributions</w:t>
      </w:r>
      <w:r>
        <w:rPr>
          <w:rFonts w:cs="Arial"/>
        </w:rPr>
        <w:t xml:space="preserve"> </w:t>
      </w:r>
      <w:r>
        <w:rPr>
          <w:rFonts w:cs="Arial"/>
        </w:rPr>
        <w:fldChar w:fldCharType="begin"/>
      </w:r>
      <w:r>
        <w:rPr>
          <w:rFonts w:cs="Arial"/>
        </w:rPr>
        <w:instrText xml:space="preserve"> REF _Ref498592662 \n \h </w:instrText>
      </w:r>
      <w:r>
        <w:rPr>
          <w:rFonts w:cs="Arial"/>
        </w:rPr>
      </w:r>
      <w:r>
        <w:rPr>
          <w:rFonts w:cs="Arial"/>
        </w:rPr>
        <w:fldChar w:fldCharType="separate"/>
      </w:r>
      <w:r>
        <w:rPr>
          <w:rFonts w:cs="Arial"/>
        </w:rPr>
        <w:t>[2]</w:t>
      </w:r>
      <w:r>
        <w:rPr>
          <w:rFonts w:cs="Arial"/>
        </w:rPr>
        <w:fldChar w:fldCharType="end"/>
      </w:r>
      <w:r>
        <w:rPr>
          <w:rFonts w:cs="Arial"/>
        </w:rPr>
        <w:t xml:space="preserve"> and </w:t>
      </w:r>
      <w:r>
        <w:rPr>
          <w:rFonts w:cs="Arial"/>
        </w:rPr>
        <w:fldChar w:fldCharType="begin"/>
      </w:r>
      <w:r>
        <w:rPr>
          <w:rFonts w:cs="Arial"/>
        </w:rPr>
        <w:instrText xml:space="preserve"> REF _Ref498592671 \n \h </w:instrText>
      </w:r>
      <w:r>
        <w:rPr>
          <w:rFonts w:cs="Arial"/>
        </w:rPr>
      </w:r>
      <w:r>
        <w:rPr>
          <w:rFonts w:cs="Arial"/>
        </w:rPr>
        <w:fldChar w:fldCharType="separate"/>
      </w:r>
      <w:r>
        <w:rPr>
          <w:rFonts w:cs="Arial"/>
        </w:rPr>
        <w:t>[3]</w:t>
      </w:r>
      <w:r>
        <w:rPr>
          <w:rFonts w:cs="Arial"/>
        </w:rPr>
        <w:fldChar w:fldCharType="end"/>
      </w:r>
      <w:r w:rsidR="00613A5A">
        <w:rPr>
          <w:rFonts w:cs="Arial"/>
        </w:rPr>
        <w:t>, respectively.</w:t>
      </w:r>
    </w:p>
    <w:p w14:paraId="43949E69" w14:textId="051DFE70" w:rsidR="00F70583" w:rsidRDefault="004000E8" w:rsidP="00485E5B">
      <w:pPr>
        <w:pStyle w:val="Heading1"/>
      </w:pPr>
      <w:bookmarkStart w:id="1" w:name="_Ref178064866"/>
      <w:r w:rsidRPr="00CE0424">
        <w:t>Discussion</w:t>
      </w:r>
      <w:bookmarkEnd w:id="1"/>
    </w:p>
    <w:p w14:paraId="1D2F8B63" w14:textId="7FBF2932" w:rsidR="00F70583" w:rsidRDefault="00F70583" w:rsidP="00F70583">
      <w:pPr>
        <w:pStyle w:val="Heading2"/>
      </w:pPr>
      <w:r>
        <w:t>(N)PRACH partitioning and EDT indication</w:t>
      </w:r>
    </w:p>
    <w:p w14:paraId="41D13146" w14:textId="429257C9" w:rsidR="007A7D63" w:rsidRDefault="00587CC8" w:rsidP="00F70583">
      <w:r>
        <w:t xml:space="preserve">In general, we see </w:t>
      </w:r>
      <w:r w:rsidR="00AF18FA">
        <w:t>the following general</w:t>
      </w:r>
      <w:r>
        <w:t xml:space="preserve"> approaches for the (N)PRACH partitioning for preambles which would be used to indicate EDT: </w:t>
      </w:r>
    </w:p>
    <w:p w14:paraId="3D4E422C" w14:textId="0C529938" w:rsidR="00AF18FA" w:rsidRDefault="00587CC8" w:rsidP="00587CC8">
      <w:pPr>
        <w:pStyle w:val="ListParagraph"/>
        <w:numPr>
          <w:ilvl w:val="0"/>
          <w:numId w:val="22"/>
        </w:numPr>
      </w:pPr>
      <w:r>
        <w:t xml:space="preserve">Defining new </w:t>
      </w:r>
      <w:r w:rsidR="00AF18FA">
        <w:t>physical (N)PRACH resources and using preambles in these new resources for EDT indication.</w:t>
      </w:r>
    </w:p>
    <w:p w14:paraId="4796C0F0" w14:textId="3EE2BB7B" w:rsidR="00AF18FA" w:rsidRDefault="00AF18FA" w:rsidP="00587CC8">
      <w:pPr>
        <w:pStyle w:val="ListParagraph"/>
        <w:numPr>
          <w:ilvl w:val="0"/>
          <w:numId w:val="22"/>
        </w:numPr>
      </w:pPr>
      <w:r>
        <w:t>Using existing physical (N)PRACH resources where preambles are dedicated either for legacy or for EDT UEs.</w:t>
      </w:r>
    </w:p>
    <w:p w14:paraId="58D03458" w14:textId="24AD8658" w:rsidR="00AF18FA" w:rsidRDefault="005A0105" w:rsidP="00AF18FA">
      <w:pPr>
        <w:pStyle w:val="ListParagraph"/>
        <w:numPr>
          <w:ilvl w:val="0"/>
          <w:numId w:val="22"/>
        </w:numPr>
      </w:pPr>
      <w:r>
        <w:t>Re-u</w:t>
      </w:r>
      <w:r w:rsidR="00587CC8">
        <w:t xml:space="preserve">sing existing </w:t>
      </w:r>
      <w:r w:rsidR="00006059">
        <w:t xml:space="preserve">physical (N)PRACH </w:t>
      </w:r>
      <w:r w:rsidR="00587CC8">
        <w:t>resources and grouping, where part</w:t>
      </w:r>
      <w:r w:rsidR="00AF18FA">
        <w:t xml:space="preserve"> </w:t>
      </w:r>
      <w:r w:rsidR="00587CC8">
        <w:t>of the existing resources and preambles groups are used for EDT indication</w:t>
      </w:r>
      <w:r w:rsidR="00606B64">
        <w:t>, i.e. “shared resources/preambles”.</w:t>
      </w:r>
    </w:p>
    <w:p w14:paraId="52C80A04" w14:textId="36EDFC30" w:rsidR="0037693D" w:rsidRDefault="00AF18FA" w:rsidP="00AF18FA">
      <w:r>
        <w:t>The first two points could be further described as “dedicated (N)PRACH resources</w:t>
      </w:r>
      <w:r w:rsidR="0037693D">
        <w:t xml:space="preserve">”, but it </w:t>
      </w:r>
      <w:r>
        <w:t xml:space="preserve">should be made clear if “dedicated” means dedicated frequency, time or code resources or a combination of these. This seems not be so clear always for example in the answers to email discussion </w:t>
      </w:r>
      <w:r>
        <w:fldChar w:fldCharType="begin"/>
      </w:r>
      <w:r>
        <w:instrText xml:space="preserve"> REF _Ref498592637 \n \h </w:instrText>
      </w:r>
      <w:r>
        <w:fldChar w:fldCharType="separate"/>
      </w:r>
      <w:r>
        <w:t>[1]</w:t>
      </w:r>
      <w:r>
        <w:fldChar w:fldCharType="end"/>
      </w:r>
      <w:r>
        <w:t xml:space="preserve">. </w:t>
      </w:r>
    </w:p>
    <w:p w14:paraId="62F07C86" w14:textId="77777777" w:rsidR="0037693D" w:rsidRDefault="0037693D" w:rsidP="00AF18FA"/>
    <w:p w14:paraId="5BDFDF90" w14:textId="33519B06" w:rsidR="0037693D" w:rsidRDefault="0037693D" w:rsidP="0037693D">
      <w:pPr>
        <w:pStyle w:val="Observation"/>
      </w:pPr>
      <w:bookmarkStart w:id="2" w:name="_Toc498618588"/>
      <w:bookmarkStart w:id="3" w:name="_Toc498655250"/>
      <w:bookmarkStart w:id="4" w:name="_Toc498661770"/>
      <w:bookmarkStart w:id="5" w:name="_Toc498661793"/>
      <w:r>
        <w:t xml:space="preserve">It should be made clear if “dedicated (N)PRACH resources” mean dedicated frequency, time or code resources </w:t>
      </w:r>
      <w:r w:rsidR="00006059">
        <w:t xml:space="preserve">or </w:t>
      </w:r>
      <w:r>
        <w:t>a combination of these.</w:t>
      </w:r>
      <w:bookmarkEnd w:id="2"/>
      <w:bookmarkEnd w:id="3"/>
      <w:bookmarkEnd w:id="4"/>
      <w:bookmarkEnd w:id="5"/>
      <w:r>
        <w:t xml:space="preserve"> </w:t>
      </w:r>
    </w:p>
    <w:p w14:paraId="11D0B4A1" w14:textId="77777777" w:rsidR="0037693D" w:rsidRDefault="0037693D" w:rsidP="0037693D">
      <w:pPr>
        <w:pStyle w:val="Observation"/>
        <w:numPr>
          <w:ilvl w:val="0"/>
          <w:numId w:val="0"/>
        </w:numPr>
        <w:ind w:left="1701"/>
      </w:pPr>
    </w:p>
    <w:p w14:paraId="118A0E92" w14:textId="37DE2D93" w:rsidR="00587CC8" w:rsidRDefault="00587CC8" w:rsidP="00587CC8">
      <w:r>
        <w:lastRenderedPageBreak/>
        <w:t>The</w:t>
      </w:r>
      <w:r w:rsidR="00AF18FA">
        <w:t xml:space="preserve"> main difference between these</w:t>
      </w:r>
      <w:r>
        <w:t xml:space="preserve"> approaches is the effect on s</w:t>
      </w:r>
      <w:r w:rsidR="00AF18FA">
        <w:t xml:space="preserve">ystem performance: In the first </w:t>
      </w:r>
      <w:r>
        <w:t>approach</w:t>
      </w:r>
      <w:r w:rsidR="00430AA4">
        <w:t>,</w:t>
      </w:r>
      <w:r>
        <w:t xml:space="preserve"> new resources are used or existing configuration split for new use cases, thus the performance of existing UEs and system is affected.</w:t>
      </w:r>
      <w:r w:rsidR="00AF18FA">
        <w:t xml:space="preserve"> Likewise</w:t>
      </w:r>
      <w:r w:rsidR="005E44B8">
        <w:t>,</w:t>
      </w:r>
      <w:r w:rsidR="00AF18FA">
        <w:t xml:space="preserve"> in the second approach, the RACH performance of the existing or legacy UEs would be affected if the number of preambles available for them is smaller </w:t>
      </w:r>
      <w:r w:rsidR="00006059">
        <w:t xml:space="preserve">than </w:t>
      </w:r>
      <w:r w:rsidR="005E44B8">
        <w:t>without EDT configuration. In the third</w:t>
      </w:r>
      <w:r>
        <w:t xml:space="preserve"> approach the resources used for (N)PRACH are the same as before, and there is no </w:t>
      </w:r>
      <w:r w:rsidR="005E44B8">
        <w:t xml:space="preserve">direct </w:t>
      </w:r>
      <w:r>
        <w:t xml:space="preserve">performance </w:t>
      </w:r>
      <w:r w:rsidR="00006059">
        <w:t xml:space="preserve">degradation </w:t>
      </w:r>
      <w:r>
        <w:t xml:space="preserve">from using additional resources or reducing the number of resources available for the </w:t>
      </w:r>
      <w:r w:rsidR="008A5C56">
        <w:t xml:space="preserve">legacy </w:t>
      </w:r>
      <w:r>
        <w:t>UEs.</w:t>
      </w:r>
    </w:p>
    <w:p w14:paraId="54ABD9C6" w14:textId="77777777" w:rsidR="00587CC8" w:rsidRDefault="00587CC8" w:rsidP="00587CC8"/>
    <w:p w14:paraId="6A6FD9FF" w14:textId="77C3A158" w:rsidR="00414672" w:rsidRPr="00F86C3E" w:rsidRDefault="00587CC8" w:rsidP="00414672">
      <w:pPr>
        <w:pStyle w:val="Observation"/>
        <w:rPr>
          <w:rFonts w:eastAsiaTheme="minorEastAsia" w:cs="Arial"/>
          <w:lang w:eastAsia="en-US"/>
        </w:rPr>
      </w:pPr>
      <w:r w:rsidRPr="00F86C3E">
        <w:rPr>
          <w:rFonts w:eastAsiaTheme="minorEastAsia" w:cs="Arial"/>
          <w:lang w:eastAsia="en-US"/>
        </w:rPr>
        <w:tab/>
      </w:r>
      <w:bookmarkStart w:id="6" w:name="_Toc498355977"/>
      <w:bookmarkStart w:id="7" w:name="_Toc498618589"/>
      <w:bookmarkStart w:id="8" w:name="_Toc498655251"/>
      <w:bookmarkStart w:id="9" w:name="_Toc498661771"/>
      <w:bookmarkStart w:id="10" w:name="_Toc498661794"/>
      <w:r w:rsidRPr="00F86C3E">
        <w:rPr>
          <w:rFonts w:cs="Arial"/>
        </w:rPr>
        <w:t>Further partitioning of the existing (N)PRACH resources</w:t>
      </w:r>
      <w:r w:rsidR="00414672" w:rsidRPr="00F86C3E">
        <w:rPr>
          <w:rFonts w:cs="Arial"/>
        </w:rPr>
        <w:t xml:space="preserve"> will result in random access performance degradation, e.g. larger collision probability.</w:t>
      </w:r>
      <w:bookmarkEnd w:id="6"/>
      <w:bookmarkEnd w:id="7"/>
      <w:bookmarkEnd w:id="8"/>
      <w:bookmarkEnd w:id="9"/>
      <w:bookmarkEnd w:id="10"/>
    </w:p>
    <w:p w14:paraId="2BC88006" w14:textId="23C5F24D" w:rsidR="00414672" w:rsidRPr="00F86C3E" w:rsidRDefault="00414672" w:rsidP="00414672">
      <w:pPr>
        <w:pStyle w:val="Observation"/>
        <w:rPr>
          <w:rFonts w:eastAsiaTheme="minorEastAsia" w:cs="Arial"/>
          <w:lang w:eastAsia="en-US"/>
        </w:rPr>
      </w:pPr>
      <w:bookmarkStart w:id="11" w:name="_Toc498355978"/>
      <w:bookmarkStart w:id="12" w:name="_Toc498618590"/>
      <w:bookmarkStart w:id="13" w:name="_Toc498655252"/>
      <w:bookmarkStart w:id="14" w:name="_Toc498661772"/>
      <w:bookmarkStart w:id="15" w:name="_Toc498661795"/>
      <w:r w:rsidRPr="00F86C3E">
        <w:rPr>
          <w:rFonts w:cs="Arial"/>
        </w:rPr>
        <w:t>Using additional uplink resources for (N)PRACH will reduce the amount of uplink resources available for other purposes.</w:t>
      </w:r>
      <w:bookmarkEnd w:id="11"/>
      <w:bookmarkEnd w:id="12"/>
      <w:bookmarkEnd w:id="13"/>
      <w:bookmarkEnd w:id="14"/>
      <w:bookmarkEnd w:id="15"/>
    </w:p>
    <w:p w14:paraId="35FFAC22" w14:textId="5776426D" w:rsidR="00414672" w:rsidRPr="00F86C3E" w:rsidRDefault="009F3093" w:rsidP="00BC2C15">
      <w:pPr>
        <w:pStyle w:val="Observation"/>
        <w:rPr>
          <w:rFonts w:cs="Arial"/>
        </w:rPr>
      </w:pPr>
      <w:bookmarkStart w:id="16" w:name="_Toc498355979"/>
      <w:bookmarkStart w:id="17" w:name="_Toc498618591"/>
      <w:bookmarkStart w:id="18" w:name="_Toc498655253"/>
      <w:bookmarkStart w:id="19" w:name="_Toc498661773"/>
      <w:bookmarkStart w:id="20" w:name="_Toc498661796"/>
      <w:r w:rsidRPr="00F86C3E">
        <w:rPr>
          <w:rFonts w:eastAsiaTheme="minorEastAsia" w:cs="Arial"/>
          <w:lang w:eastAsia="en-US"/>
        </w:rPr>
        <w:t xml:space="preserve">Re-using existing preambles and </w:t>
      </w:r>
      <w:r w:rsidR="008A5C56" w:rsidRPr="00F86C3E">
        <w:rPr>
          <w:rFonts w:eastAsiaTheme="minorEastAsia" w:cs="Arial"/>
          <w:lang w:eastAsia="en-US"/>
        </w:rPr>
        <w:t>(N)PRACH resources</w:t>
      </w:r>
      <w:r w:rsidRPr="00F86C3E">
        <w:rPr>
          <w:rFonts w:eastAsiaTheme="minorEastAsia" w:cs="Arial"/>
          <w:lang w:eastAsia="en-US"/>
        </w:rPr>
        <w:t xml:space="preserve"> would not require use of additional system resources</w:t>
      </w:r>
      <w:bookmarkEnd w:id="16"/>
      <w:bookmarkEnd w:id="17"/>
      <w:r w:rsidR="008A5C56" w:rsidRPr="00F86C3E">
        <w:rPr>
          <w:rFonts w:eastAsiaTheme="minorEastAsia" w:cs="Arial"/>
          <w:lang w:eastAsia="en-US"/>
        </w:rPr>
        <w:t>, and would not result in performance degradation for the legacy UEs.</w:t>
      </w:r>
      <w:bookmarkEnd w:id="18"/>
      <w:bookmarkEnd w:id="19"/>
      <w:bookmarkEnd w:id="20"/>
      <w:r w:rsidR="008A5C56" w:rsidRPr="00F86C3E">
        <w:rPr>
          <w:rFonts w:eastAsiaTheme="minorEastAsia" w:cs="Arial"/>
          <w:lang w:eastAsia="en-US"/>
        </w:rPr>
        <w:t xml:space="preserve"> </w:t>
      </w:r>
    </w:p>
    <w:p w14:paraId="40CE0B6B" w14:textId="2494F8A3" w:rsidR="009F3093" w:rsidRDefault="009F3093" w:rsidP="00F70583"/>
    <w:p w14:paraId="79C4DA4D" w14:textId="77777777" w:rsidR="00BC3783" w:rsidRDefault="00BC3783" w:rsidP="00BC3783">
      <w:pPr>
        <w:keepNext/>
      </w:pPr>
      <w:r>
        <w:rPr>
          <w:rFonts w:eastAsia="SimSun"/>
          <w:noProof/>
          <w:lang w:val="en-US" w:eastAsia="en-US"/>
        </w:rPr>
        <w:drawing>
          <wp:inline distT="0" distB="0" distL="0" distR="0" wp14:anchorId="1909CF6A" wp14:editId="0A998C6E">
            <wp:extent cx="6078931" cy="18490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2830" cy="1859398"/>
                    </a:xfrm>
                    <a:prstGeom prst="rect">
                      <a:avLst/>
                    </a:prstGeom>
                    <a:noFill/>
                  </pic:spPr>
                </pic:pic>
              </a:graphicData>
            </a:graphic>
          </wp:inline>
        </w:drawing>
      </w:r>
    </w:p>
    <w:p w14:paraId="0213450F" w14:textId="517B0043" w:rsidR="00BC3783" w:rsidRDefault="00BC3783" w:rsidP="00BC3783">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Two approaches to PRACH part</w:t>
      </w:r>
      <w:r w:rsidR="00473372">
        <w:t xml:space="preserve">itioning: </w:t>
      </w:r>
      <w:r w:rsidR="0074407B">
        <w:t>I</w:t>
      </w:r>
      <w:r w:rsidR="00473372">
        <w:t>n A) the preambles (or subcarriers) would be dedicated for either legacy or EDT use. In B) part of the preambles would be configured to be used either by legacy or Rel-15 UEs for EDT.</w:t>
      </w:r>
    </w:p>
    <w:p w14:paraId="1F021CA9" w14:textId="77777777" w:rsidR="00BC3783" w:rsidRDefault="00BC3783" w:rsidP="00F70583"/>
    <w:p w14:paraId="3212DD69" w14:textId="26F0EC4D" w:rsidR="00641631" w:rsidRDefault="005870B0" w:rsidP="00F70583">
      <w:r>
        <w:t xml:space="preserve">Configuration for the </w:t>
      </w:r>
      <w:r w:rsidR="00641631">
        <w:t>third</w:t>
      </w:r>
      <w:r>
        <w:t xml:space="preserve"> approach would consist of defining the range of the preambles or subcarriers, using existing (N)PRACH </w:t>
      </w:r>
      <w:r w:rsidR="00641631">
        <w:t xml:space="preserve">physical </w:t>
      </w:r>
      <w:r>
        <w:t xml:space="preserve">resources, which could be used either by legacy UEs or Rel-15 UEs for EDT. </w:t>
      </w:r>
      <w:r w:rsidR="009A5A64">
        <w:t xml:space="preserve">Based on the </w:t>
      </w:r>
      <w:r w:rsidR="00641631">
        <w:t xml:space="preserve">answers to email discussion </w:t>
      </w:r>
      <w:r w:rsidR="00641631">
        <w:fldChar w:fldCharType="begin"/>
      </w:r>
      <w:r w:rsidR="00641631">
        <w:instrText xml:space="preserve"> REF _Ref498592637 \n \h </w:instrText>
      </w:r>
      <w:r w:rsidR="00641631">
        <w:fldChar w:fldCharType="separate"/>
      </w:r>
      <w:r w:rsidR="00641631">
        <w:t>[1]</w:t>
      </w:r>
      <w:r w:rsidR="00641631">
        <w:fldChar w:fldCharType="end"/>
      </w:r>
      <w:r w:rsidR="009A5A64">
        <w:t xml:space="preserve"> it seems majority of the companies </w:t>
      </w:r>
      <w:r w:rsidR="00500EA6">
        <w:t>prefer</w:t>
      </w:r>
      <w:r w:rsidR="009A5A64">
        <w:t xml:space="preserve"> dedicated resources</w:t>
      </w:r>
      <w:r w:rsidR="00641631">
        <w:t>, either new physical resources or dedicated preambles</w:t>
      </w:r>
      <w:r w:rsidR="005A0105">
        <w:t xml:space="preserve"> within physical resource shared with legacy UEs</w:t>
      </w:r>
      <w:r w:rsidR="009A5A64">
        <w:t xml:space="preserve">, regardless of the effect on </w:t>
      </w:r>
      <w:r w:rsidR="005A0105">
        <w:t xml:space="preserve">the </w:t>
      </w:r>
      <w:r w:rsidR="009A5A64">
        <w:t xml:space="preserve">system performance. </w:t>
      </w:r>
      <w:r w:rsidR="00500EA6">
        <w:t xml:space="preserve">Our proposal is </w:t>
      </w:r>
      <w:r w:rsidR="00641631">
        <w:t>that it would be up to eNB to</w:t>
      </w:r>
      <w:r w:rsidR="00500EA6">
        <w:t xml:space="preserve"> configure dedicated resources and/or shared resources</w:t>
      </w:r>
      <w:r w:rsidR="00641631">
        <w:t xml:space="preserve">. This would provide flexible options for the network operator to configure the available resources as best seen for their network. </w:t>
      </w:r>
      <w:r w:rsidR="001353CA">
        <w:t>Also, t</w:t>
      </w:r>
      <w:r w:rsidR="00984F82">
        <w:t>his would mean the configuration would be like the legacy configuration</w:t>
      </w:r>
      <w:r w:rsidR="001353CA">
        <w:t xml:space="preserve"> for </w:t>
      </w:r>
      <w:r w:rsidR="00E352B7">
        <w:t>LTE-</w:t>
      </w:r>
      <w:r w:rsidR="001353CA">
        <w:t>MTC and NB-IoT</w:t>
      </w:r>
      <w:r w:rsidR="00984F82">
        <w:t>, where different frequency/time and preamble resources c</w:t>
      </w:r>
      <w:r w:rsidR="001353CA">
        <w:t>an be configured</w:t>
      </w:r>
      <w:r w:rsidR="005A0105">
        <w:t xml:space="preserve"> flexibly</w:t>
      </w:r>
      <w:r w:rsidR="001353CA">
        <w:t xml:space="preserve">. </w:t>
      </w:r>
    </w:p>
    <w:p w14:paraId="377C7520" w14:textId="77777777" w:rsidR="00984F82" w:rsidRDefault="00984F82" w:rsidP="00F70583"/>
    <w:p w14:paraId="60DC7301" w14:textId="5B4C6388" w:rsidR="00984F82" w:rsidRDefault="00984F82" w:rsidP="00CF5AD6">
      <w:pPr>
        <w:pStyle w:val="Proposal"/>
      </w:pPr>
      <w:bookmarkStart w:id="21" w:name="_Toc498618595"/>
      <w:r>
        <w:t xml:space="preserve"> </w:t>
      </w:r>
      <w:bookmarkStart w:id="22" w:name="_Toc498655255"/>
      <w:bookmarkStart w:id="23" w:name="_Toc498661764"/>
      <w:bookmarkStart w:id="24" w:name="_Toc498661798"/>
      <w:r>
        <w:t>(N)PRACH physical resource</w:t>
      </w:r>
      <w:r w:rsidR="002B65D8">
        <w:t xml:space="preserve">s </w:t>
      </w:r>
      <w:r>
        <w:t xml:space="preserve">and </w:t>
      </w:r>
      <w:r w:rsidR="002B65D8">
        <w:t xml:space="preserve">preamble allocation for EDT indication are configured </w:t>
      </w:r>
      <w:r w:rsidR="00816DA4">
        <w:t xml:space="preserve">with </w:t>
      </w:r>
      <w:r w:rsidR="00F50FA3">
        <w:t>si</w:t>
      </w:r>
      <w:r w:rsidR="00816DA4">
        <w:t>milar flexibility</w:t>
      </w:r>
      <w:r w:rsidR="00F50FA3">
        <w:t xml:space="preserve"> as</w:t>
      </w:r>
      <w:r w:rsidR="00816DA4">
        <w:t xml:space="preserve"> in</w:t>
      </w:r>
      <w:r w:rsidR="002B65D8">
        <w:t xml:space="preserve"> legacy NB-IoT and LTE-MTC</w:t>
      </w:r>
      <w:r>
        <w:t>.</w:t>
      </w:r>
      <w:bookmarkEnd w:id="22"/>
      <w:bookmarkEnd w:id="23"/>
      <w:bookmarkEnd w:id="24"/>
      <w:r>
        <w:t xml:space="preserve"> </w:t>
      </w:r>
    </w:p>
    <w:p w14:paraId="4F4E53F0" w14:textId="71BCBDC0" w:rsidR="00CF5AD6" w:rsidRDefault="00641631" w:rsidP="00CF5AD6">
      <w:pPr>
        <w:pStyle w:val="Proposal"/>
      </w:pPr>
      <w:bookmarkStart w:id="25" w:name="_Toc498655256"/>
      <w:bookmarkStart w:id="26" w:name="_Toc498661765"/>
      <w:bookmarkStart w:id="27" w:name="_Toc498661799"/>
      <w:r>
        <w:t xml:space="preserve">It is up to eNB configuration </w:t>
      </w:r>
      <w:r w:rsidR="00413A49">
        <w:t>whether</w:t>
      </w:r>
      <w:r>
        <w:t xml:space="preserve"> the resources used for EDT indication are new (N)PRACH resources, dedicated resources within the existing physical resources or shared resources between legacy UEs and UEs using EDT.</w:t>
      </w:r>
      <w:bookmarkEnd w:id="21"/>
      <w:bookmarkEnd w:id="25"/>
      <w:bookmarkEnd w:id="26"/>
      <w:bookmarkEnd w:id="27"/>
      <w:r>
        <w:t xml:space="preserve"> </w:t>
      </w:r>
    </w:p>
    <w:p w14:paraId="7DB59F48" w14:textId="2BED19A4" w:rsidR="001353CA" w:rsidRDefault="001353CA" w:rsidP="00F70583">
      <w:r>
        <w:t xml:space="preserve">Examples of </w:t>
      </w:r>
      <w:r w:rsidR="008A5C56">
        <w:t xml:space="preserve">ways to provide EDT indication </w:t>
      </w:r>
      <w:r>
        <w:t xml:space="preserve">configuration </w:t>
      </w:r>
      <w:r w:rsidR="008A5C56">
        <w:t xml:space="preserve">for NB-IoT and LTE-MTC </w:t>
      </w:r>
      <w:r>
        <w:t xml:space="preserve">are further provided in Section </w:t>
      </w:r>
      <w:r>
        <w:fldChar w:fldCharType="begin"/>
      </w:r>
      <w:r>
        <w:instrText xml:space="preserve"> REF _Ref498626118 \n \h </w:instrText>
      </w:r>
      <w:r>
        <w:fldChar w:fldCharType="separate"/>
      </w:r>
      <w:r>
        <w:t>3</w:t>
      </w:r>
      <w:r>
        <w:fldChar w:fldCharType="end"/>
      </w:r>
      <w:r>
        <w:t xml:space="preserve">. </w:t>
      </w:r>
    </w:p>
    <w:p w14:paraId="6893C6A1" w14:textId="02733957" w:rsidR="00F70583" w:rsidRDefault="008D4B99" w:rsidP="00D62D2D">
      <w:pPr>
        <w:pStyle w:val="Heading2"/>
      </w:pPr>
      <w:r>
        <w:lastRenderedPageBreak/>
        <w:t>Uplink resource efficiency</w:t>
      </w:r>
    </w:p>
    <w:p w14:paraId="7CB25DDA" w14:textId="247A18D1" w:rsidR="008D4B99" w:rsidRDefault="004236DD" w:rsidP="008D4B99">
      <w:r>
        <w:t xml:space="preserve">Based on the email discussion </w:t>
      </w:r>
      <w:r>
        <w:fldChar w:fldCharType="begin"/>
      </w:r>
      <w:r>
        <w:instrText xml:space="preserve"> REF _Ref498592637 \n \h </w:instrText>
      </w:r>
      <w:r>
        <w:fldChar w:fldCharType="separate"/>
      </w:r>
      <w:r>
        <w:t>[1]</w:t>
      </w:r>
      <w:r>
        <w:fldChar w:fldCharType="end"/>
      </w:r>
      <w:r>
        <w:t xml:space="preserve"> it seems most companie</w:t>
      </w:r>
      <w:r w:rsidR="00B661A7">
        <w:t>s</w:t>
      </w:r>
      <w:r>
        <w:t xml:space="preserve"> do not prefer to use the EDT indication, i.e. preambles, to explicitly denote the size of the UL data. Thus, the eNB would not explicitly know what would be the best grant size to allocate for Msg3. This may lead to situation where the UE has relatively small data compared to the grant size, which would further mean using possibly excessive amount of padding in Msg3 degrading UL spectral efficiency. This would be even worse for the UEs in very poor coverage where large number of repetitions would be used in uplink. One goal of EDT is to reduce the UE power consumption, and using large grants with small data would lead to excessive power consumption possibly negating any gains achieved by using EDT in the first place. </w:t>
      </w:r>
    </w:p>
    <w:p w14:paraId="448E130F" w14:textId="77777777" w:rsidR="004236DD" w:rsidRDefault="004236DD" w:rsidP="008D4B99"/>
    <w:p w14:paraId="32D7D19D" w14:textId="40D5C4E2" w:rsidR="004236DD" w:rsidRDefault="004236DD" w:rsidP="004236DD">
      <w:pPr>
        <w:pStyle w:val="Observation"/>
      </w:pPr>
      <w:bookmarkStart w:id="28" w:name="_Toc498618592"/>
      <w:bookmarkStart w:id="29" w:name="_Toc498655254"/>
      <w:bookmarkStart w:id="30" w:name="_Toc498661774"/>
      <w:bookmarkStart w:id="31" w:name="_Toc498661797"/>
      <w:r>
        <w:t xml:space="preserve">Too large UL grants for small data in Msg3 </w:t>
      </w:r>
      <w:r w:rsidR="001353CA">
        <w:t xml:space="preserve">would </w:t>
      </w:r>
      <w:r>
        <w:t xml:space="preserve">negate any gains achieved by </w:t>
      </w:r>
      <w:r w:rsidR="001353CA">
        <w:t xml:space="preserve">using </w:t>
      </w:r>
      <w:r>
        <w:t>EDT.</w:t>
      </w:r>
      <w:bookmarkEnd w:id="28"/>
      <w:bookmarkEnd w:id="29"/>
      <w:bookmarkEnd w:id="30"/>
      <w:bookmarkEnd w:id="31"/>
      <w:r>
        <w:t xml:space="preserve"> </w:t>
      </w:r>
    </w:p>
    <w:p w14:paraId="04B4F07D" w14:textId="735710AA" w:rsidR="004236DD" w:rsidRDefault="004236DD" w:rsidP="008D4B99"/>
    <w:p w14:paraId="6E274A55" w14:textId="4109A62F" w:rsidR="004236DD" w:rsidRDefault="004236DD" w:rsidP="008D4B99">
      <w:r>
        <w:t xml:space="preserve">For this </w:t>
      </w:r>
      <w:r w:rsidR="00EC547E">
        <w:t>reason,</w:t>
      </w:r>
      <w:r>
        <w:t xml:space="preserve"> we think we should consider the possibility to provide multiple</w:t>
      </w:r>
      <w:r w:rsidR="00B44A83">
        <w:t xml:space="preserve"> (</w:t>
      </w:r>
      <w:r>
        <w:t>at least two) different TB sizes for Msg3 transmission. This can be achieved</w:t>
      </w:r>
      <w:r w:rsidR="00B44A83">
        <w:t>,</w:t>
      </w:r>
      <w:r>
        <w:t xml:space="preserve"> for example by </w:t>
      </w:r>
      <w:r w:rsidR="00B44A83">
        <w:t xml:space="preserve">providing UL grant in a legacy way, but additionally indicating the possibility for multiple different </w:t>
      </w:r>
      <w:r w:rsidR="00EC547E">
        <w:t>TB</w:t>
      </w:r>
      <w:r w:rsidR="00B44A83">
        <w:t xml:space="preserve"> sizes in Msg2</w:t>
      </w:r>
      <w:r w:rsidR="00EC547E">
        <w:t xml:space="preserve">. </w:t>
      </w:r>
      <w:r w:rsidR="00AD5FEF">
        <w:t xml:space="preserve">This might require redefining some UL grant contents, which would be up to RAN1. </w:t>
      </w:r>
      <w:r w:rsidR="00EC547E">
        <w:t xml:space="preserve">The eNB could then blindly detect what TBS the UE is using. This could mean some </w:t>
      </w:r>
      <w:r w:rsidR="00AD5FEF">
        <w:t xml:space="preserve">scheduled </w:t>
      </w:r>
      <w:r w:rsidR="00EC547E">
        <w:t xml:space="preserve">UL resources </w:t>
      </w:r>
      <w:r w:rsidR="00AD5FEF">
        <w:t>could not be</w:t>
      </w:r>
      <w:r w:rsidR="00EC547E">
        <w:t xml:space="preserve"> used, but we think such waste can be minimized by </w:t>
      </w:r>
      <w:r w:rsidR="00B91108">
        <w:t>usi</w:t>
      </w:r>
      <w:r w:rsidR="009B7A96">
        <w:t xml:space="preserve">ng overlapping time/frequency resources if possible </w:t>
      </w:r>
      <w:r w:rsidR="001353CA">
        <w:t xml:space="preserve">for the </w:t>
      </w:r>
      <w:r w:rsidR="00F26614">
        <w:t xml:space="preserve">two </w:t>
      </w:r>
      <w:r w:rsidR="009B7A96">
        <w:t xml:space="preserve">different TB sizes. </w:t>
      </w:r>
    </w:p>
    <w:p w14:paraId="508FCE42" w14:textId="098BDBA6" w:rsidR="00A54FBD" w:rsidRDefault="00A54FBD" w:rsidP="008D4B99">
      <w:r>
        <w:t xml:space="preserve">Alternatively, we could consider using dual or multiple grants in Msg2 as discussed e.g. in our answer to the email discussion </w:t>
      </w:r>
      <w:r>
        <w:fldChar w:fldCharType="begin"/>
      </w:r>
      <w:r>
        <w:instrText xml:space="preserve"> REF _Ref498641370 \n \h </w:instrText>
      </w:r>
      <w:r>
        <w:fldChar w:fldCharType="separate"/>
      </w:r>
      <w:r>
        <w:t>[1]</w:t>
      </w:r>
      <w:r>
        <w:fldChar w:fldCharType="end"/>
      </w:r>
      <w:r>
        <w:t xml:space="preserve"> or our previous contribution </w:t>
      </w:r>
      <w:r>
        <w:fldChar w:fldCharType="begin"/>
      </w:r>
      <w:r>
        <w:instrText xml:space="preserve"> REF _Ref498627981 \n \h </w:instrText>
      </w:r>
      <w:r>
        <w:fldChar w:fldCharType="separate"/>
      </w:r>
      <w:r>
        <w:t>[5]</w:t>
      </w:r>
      <w:r>
        <w:fldChar w:fldCharType="end"/>
      </w:r>
      <w:r>
        <w:t>. It should be noted that dual grants could be provided efficiently without changing the legacy RAR format so that it would be backwards-compatible, as we have explained before</w:t>
      </w:r>
      <w:r w:rsidR="005616C9">
        <w:t xml:space="preserve"> </w:t>
      </w:r>
      <w:r w:rsidR="005616C9">
        <w:fldChar w:fldCharType="begin"/>
      </w:r>
      <w:r w:rsidR="005616C9">
        <w:instrText xml:space="preserve"> REF _Ref498627981 \r \h </w:instrText>
      </w:r>
      <w:r w:rsidR="005616C9">
        <w:fldChar w:fldCharType="separate"/>
      </w:r>
      <w:r w:rsidR="005616C9">
        <w:t>[5]</w:t>
      </w:r>
      <w:r w:rsidR="005616C9">
        <w:fldChar w:fldCharType="end"/>
      </w:r>
      <w:r>
        <w:t xml:space="preserve">. One example approach is to denote with an ‘R’ bit in the RAR that the UE can select from two different grants: the legacy one using legacy format, and another grant with larger TBS, where the TBS could be e.g. the maximum TBS signalled per CE level, or some value derived from that. </w:t>
      </w:r>
    </w:p>
    <w:p w14:paraId="3CBDD379" w14:textId="777E2BC5" w:rsidR="009A5A64" w:rsidRDefault="009A5A64" w:rsidP="009A5A64"/>
    <w:p w14:paraId="3E620B55" w14:textId="26DA803F" w:rsidR="00E77528" w:rsidRDefault="00E77528" w:rsidP="00E77528">
      <w:pPr>
        <w:pStyle w:val="Proposal"/>
      </w:pPr>
      <w:bookmarkStart w:id="32" w:name="_Toc498618596"/>
      <w:bookmarkStart w:id="33" w:name="_Toc498655257"/>
      <w:bookmarkStart w:id="34" w:name="_Toc498661766"/>
      <w:bookmarkStart w:id="35" w:name="_Toc498661800"/>
      <w:r>
        <w:t>Discuss way</w:t>
      </w:r>
      <w:r w:rsidR="000E744C">
        <w:t>s</w:t>
      </w:r>
      <w:r>
        <w:t xml:space="preserve"> to provide flexible TBS for Msg3 to avoid excessive padding.</w:t>
      </w:r>
      <w:bookmarkEnd w:id="32"/>
      <w:bookmarkEnd w:id="33"/>
      <w:bookmarkEnd w:id="34"/>
      <w:bookmarkEnd w:id="35"/>
      <w:r>
        <w:t xml:space="preserve"> </w:t>
      </w:r>
    </w:p>
    <w:p w14:paraId="418D2BC4" w14:textId="24E57E60" w:rsidR="00BC2C15" w:rsidRDefault="00BC2C15">
      <w:pPr>
        <w:pStyle w:val="Proposal"/>
        <w:numPr>
          <w:ilvl w:val="0"/>
          <w:numId w:val="0"/>
        </w:numPr>
      </w:pPr>
    </w:p>
    <w:p w14:paraId="21369896" w14:textId="0C5F44E2" w:rsidR="00DC6A32" w:rsidRDefault="00BC2C15" w:rsidP="00A052AB">
      <w:r>
        <w:t>Let us first consider cases, where only one legacy-size UL grant would be provided in RAR: One</w:t>
      </w:r>
      <w:r w:rsidR="00DC6A32">
        <w:t xml:space="preserve"> way to provide flexible grant size could be to map different MCS indices to different set</w:t>
      </w:r>
      <w:r w:rsidR="00F04C71">
        <w:t>s</w:t>
      </w:r>
      <w:r w:rsidR="00DC6A32">
        <w:t xml:space="preserve"> of grant sizes, that is, one MCS value in UL grant would correspond for example to three different grant </w:t>
      </w:r>
      <w:r w:rsidR="004966E6">
        <w:t xml:space="preserve">size </w:t>
      </w:r>
      <w:r w:rsidR="00DC6A32">
        <w:t>values</w:t>
      </w:r>
      <w:r w:rsidR="00F922A9">
        <w:t>, for example</w:t>
      </w:r>
      <w:r w:rsidR="005A10AB">
        <w:t xml:space="preserve"> the</w:t>
      </w:r>
      <w:r w:rsidR="00DC6A32">
        <w:t xml:space="preserve"> </w:t>
      </w:r>
      <w:r w:rsidR="005A10AB">
        <w:t>m</w:t>
      </w:r>
      <w:r w:rsidR="00DC6A32">
        <w:t>aximum supported TBS, half of the maximum</w:t>
      </w:r>
      <w:r w:rsidR="005A10AB">
        <w:t>,</w:t>
      </w:r>
      <w:r w:rsidR="00DC6A32">
        <w:t xml:space="preserve"> and one fourth of the maximum</w:t>
      </w:r>
      <w:r w:rsidR="005A10AB">
        <w:t>, respectively</w:t>
      </w:r>
      <w:r w:rsidR="00DC6A32">
        <w:t xml:space="preserve"> (or some other range). The UE would select and transmit with </w:t>
      </w:r>
      <w:r w:rsidR="00F029CC">
        <w:t xml:space="preserve">the </w:t>
      </w:r>
      <w:r w:rsidR="00DC6A32">
        <w:t xml:space="preserve">TBS </w:t>
      </w:r>
      <w:r w:rsidR="00BD0DFA">
        <w:t>that</w:t>
      </w:r>
      <w:r w:rsidR="00DC6A32">
        <w:t xml:space="preserve"> best fits the data, and eNB would do blind detection based on the signalled </w:t>
      </w:r>
      <w:r w:rsidR="004966E6">
        <w:t>TBS</w:t>
      </w:r>
      <w:r w:rsidR="00DC6A32">
        <w:t xml:space="preserve"> set.</w:t>
      </w:r>
    </w:p>
    <w:p w14:paraId="7629558A" w14:textId="26AB8406" w:rsidR="00485E5B" w:rsidRDefault="00124986" w:rsidP="00A052AB">
      <w:bookmarkStart w:id="36" w:name="_Hlk498633697"/>
      <w:r>
        <w:t xml:space="preserve">In the case where multiple grants would be used in Msg2 or RAR, e.g. as discussed in our earlier contribution </w:t>
      </w:r>
      <w:r>
        <w:fldChar w:fldCharType="begin"/>
      </w:r>
      <w:r>
        <w:instrText xml:space="preserve"> REF _Ref498627981 \n \h </w:instrText>
      </w:r>
      <w:r>
        <w:fldChar w:fldCharType="separate"/>
      </w:r>
      <w:r>
        <w:t>[5]</w:t>
      </w:r>
      <w:r>
        <w:fldChar w:fldCharType="end"/>
      </w:r>
      <w:r>
        <w:t xml:space="preserve">, the additional grant information could include similar flexible size as for the previous case. </w:t>
      </w:r>
      <w:r w:rsidR="000E65DE">
        <w:t xml:space="preserve">It would also be possible to signal multiple separate TB sizes, i.e. one per grant, but that would require use of </w:t>
      </w:r>
      <w:r w:rsidR="00FD6935">
        <w:t xml:space="preserve">a </w:t>
      </w:r>
      <w:r w:rsidR="000E65DE">
        <w:t xml:space="preserve">larger number of bits in Msg2 and may not be preferred. </w:t>
      </w:r>
      <w:bookmarkEnd w:id="36"/>
    </w:p>
    <w:p w14:paraId="1CF49813" w14:textId="70E97398" w:rsidR="00C91DDE" w:rsidRDefault="00C91DDE" w:rsidP="00A052AB">
      <w:pPr>
        <w:rPr>
          <w:noProof/>
        </w:rPr>
      </w:pPr>
      <w:r>
        <w:rPr>
          <w:noProof/>
        </w:rPr>
        <w:t>Moreover, i</w:t>
      </w:r>
      <w:r>
        <w:t xml:space="preserve">f shared resources are configured, the eNB should be able to indicate in Msg2 to the UE the possibility to use EDT in addition to providing legacy grant. </w:t>
      </w:r>
    </w:p>
    <w:p w14:paraId="6C7DF4A8" w14:textId="0DB76F83" w:rsidR="00C00B75" w:rsidRDefault="00C91DDE" w:rsidP="00606B64">
      <w:pPr>
        <w:pStyle w:val="Heading2"/>
        <w:rPr>
          <w:noProof/>
        </w:rPr>
      </w:pPr>
      <w:bookmarkStart w:id="37" w:name="_Ref498627675"/>
      <w:r>
        <w:rPr>
          <w:noProof/>
        </w:rPr>
        <w:t xml:space="preserve">TBS range </w:t>
      </w:r>
      <w:r w:rsidR="00606B64">
        <w:rPr>
          <w:noProof/>
        </w:rPr>
        <w:t>for Msg3 grants</w:t>
      </w:r>
      <w:bookmarkEnd w:id="37"/>
    </w:p>
    <w:p w14:paraId="40148ED6" w14:textId="569F07F4" w:rsidR="00606B64" w:rsidRDefault="00AD5FEF" w:rsidP="00606B64">
      <w:r>
        <w:t xml:space="preserve">In LS </w:t>
      </w:r>
      <w:r>
        <w:fldChar w:fldCharType="begin"/>
      </w:r>
      <w:r>
        <w:instrText xml:space="preserve"> REF _Ref498616489 \n \h </w:instrText>
      </w:r>
      <w:r>
        <w:fldChar w:fldCharType="separate"/>
      </w:r>
      <w:r>
        <w:t>[4]</w:t>
      </w:r>
      <w:r>
        <w:fldChar w:fldCharType="end"/>
      </w:r>
      <w:r>
        <w:t xml:space="preserve"> RAN1 asks RAN2 to provide input on what TBS range RAN2 thinks is needed for EDT payloads. </w:t>
      </w:r>
    </w:p>
    <w:p w14:paraId="6AA3696F" w14:textId="2796224D" w:rsidR="00AD5FEF" w:rsidRDefault="00AD5FEF" w:rsidP="00606B64">
      <w:r>
        <w:t>We think the resolution and number of possible grant sizes depend on the number of available code points</w:t>
      </w:r>
      <w:r w:rsidR="000E65DE">
        <w:t>, and how the grants are allocated</w:t>
      </w:r>
      <w:r>
        <w:t xml:space="preserve">. In order to support the </w:t>
      </w:r>
      <w:r w:rsidR="009E626F">
        <w:t>100-byte packet size</w:t>
      </w:r>
      <w:r>
        <w:t xml:space="preserve"> use case</w:t>
      </w:r>
      <w:r w:rsidR="009E626F">
        <w:t xml:space="preserve"> described in </w:t>
      </w:r>
      <w:r w:rsidR="009E626F">
        <w:fldChar w:fldCharType="begin"/>
      </w:r>
      <w:r w:rsidR="009E626F">
        <w:instrText xml:space="preserve"> REF _Ref498644066 \r \h </w:instrText>
      </w:r>
      <w:r w:rsidR="009E626F">
        <w:fldChar w:fldCharType="separate"/>
      </w:r>
      <w:r w:rsidR="009E626F">
        <w:t>[6]</w:t>
      </w:r>
      <w:r w:rsidR="009E626F">
        <w:fldChar w:fldCharType="end"/>
      </w:r>
      <w:r>
        <w:t xml:space="preserve">, we think maximum TBS of 1000 bits for Msg3 should be supported. </w:t>
      </w:r>
    </w:p>
    <w:p w14:paraId="3E1A1548" w14:textId="4E9D9527" w:rsidR="00AD5FEF" w:rsidRDefault="00AD5FEF" w:rsidP="00606B64"/>
    <w:p w14:paraId="0E6FC692" w14:textId="7DC8854B" w:rsidR="00AD5FEF" w:rsidRDefault="00E77528" w:rsidP="00AD5FEF">
      <w:pPr>
        <w:pStyle w:val="Proposal"/>
      </w:pPr>
      <w:bookmarkStart w:id="38" w:name="_Toc498618598"/>
      <w:bookmarkStart w:id="39" w:name="_Toc498655258"/>
      <w:bookmarkStart w:id="40" w:name="_Toc498661767"/>
      <w:bookmarkStart w:id="41" w:name="_Toc498661801"/>
      <w:r>
        <w:t>For EDT</w:t>
      </w:r>
      <w:r w:rsidR="00DC6A32">
        <w:t>,</w:t>
      </w:r>
      <w:r>
        <w:t xml:space="preserve"> </w:t>
      </w:r>
      <w:r w:rsidR="00AD5FEF">
        <w:t>ma</w:t>
      </w:r>
      <w:r>
        <w:t>ximum TBS of 1000 bits for Msg3 is supported.</w:t>
      </w:r>
      <w:bookmarkEnd w:id="38"/>
      <w:bookmarkEnd w:id="39"/>
      <w:bookmarkEnd w:id="40"/>
      <w:bookmarkEnd w:id="41"/>
      <w:r w:rsidR="00AD5FEF">
        <w:t xml:space="preserve"> </w:t>
      </w:r>
    </w:p>
    <w:p w14:paraId="5BBA7FE3" w14:textId="168E9BFE" w:rsidR="00AD5FEF" w:rsidRDefault="00C91DDE" w:rsidP="00606B64">
      <w:r>
        <w:t xml:space="preserve">Regardless of how the grants are provided, RAN2 needs to discuss what would be the preferred range of TB sizes support for Msg3. We think using just one size, e.g. the maximum broadcasted per CE level would results in bad spectral efficiency, as explained above. </w:t>
      </w:r>
    </w:p>
    <w:p w14:paraId="0E6AED23" w14:textId="77777777" w:rsidR="00C91DDE" w:rsidRDefault="00C91DDE" w:rsidP="00606B64"/>
    <w:p w14:paraId="17AC63A4" w14:textId="18F4E559" w:rsidR="00E77528" w:rsidRDefault="00E77528" w:rsidP="00E77528">
      <w:pPr>
        <w:pStyle w:val="Proposal"/>
      </w:pPr>
      <w:bookmarkStart w:id="42" w:name="_Toc498618599"/>
      <w:bookmarkStart w:id="43" w:name="_Toc498655259"/>
      <w:bookmarkStart w:id="44" w:name="_Toc498661768"/>
      <w:bookmarkStart w:id="45" w:name="_Toc498661802"/>
      <w:r>
        <w:t xml:space="preserve">Discuss </w:t>
      </w:r>
      <w:r w:rsidR="00E60B57">
        <w:t>what</w:t>
      </w:r>
      <w:r>
        <w:t xml:space="preserve"> TBS </w:t>
      </w:r>
      <w:r w:rsidR="00E60B57">
        <w:t xml:space="preserve">range </w:t>
      </w:r>
      <w:r>
        <w:t xml:space="preserve">should be </w:t>
      </w:r>
      <w:r w:rsidR="00E60B57">
        <w:t>use</w:t>
      </w:r>
      <w:r w:rsidR="00112FC8">
        <w:t>d</w:t>
      </w:r>
      <w:r w:rsidR="00E60B57">
        <w:t xml:space="preserve"> for Msg3</w:t>
      </w:r>
      <w:r>
        <w:t>.</w:t>
      </w:r>
      <w:bookmarkEnd w:id="42"/>
      <w:bookmarkEnd w:id="43"/>
      <w:bookmarkEnd w:id="44"/>
      <w:bookmarkEnd w:id="45"/>
      <w:r>
        <w:t xml:space="preserve"> </w:t>
      </w:r>
    </w:p>
    <w:p w14:paraId="41720DA2" w14:textId="38749C0D" w:rsidR="00AD5FEF" w:rsidRDefault="00AD5FEF" w:rsidP="00606B64"/>
    <w:p w14:paraId="1A2E9AB2" w14:textId="7C21A186" w:rsidR="009748D3" w:rsidRDefault="009748D3" w:rsidP="009748D3">
      <w:r>
        <w:t>One way to indicate the grant sizes</w:t>
      </w:r>
      <w:r w:rsidR="00E60B57">
        <w:t xml:space="preserve"> for individual grants</w:t>
      </w:r>
      <w:r>
        <w:t xml:space="preserve"> would be to relate the maximum signalled TBS per CE proportionally to grant size with different code points available in the UL grant. For example, for NB-IoT there are currently 5 reserved MCS indices (TS 36.213, table 16.3.3-1), where these 5 values (if the three existing ones are used) could be related to max size, for example by calculating TBS = maxTBS / n_i, where n_i would depend on the MCS index.</w:t>
      </w:r>
    </w:p>
    <w:p w14:paraId="08F15105" w14:textId="4632A332" w:rsidR="009748D3" w:rsidRDefault="009748D3" w:rsidP="009748D3">
      <w:r>
        <w:t xml:space="preserve">One possibility would also be to use some of the reserved bits in MAC RAR to increase the number of possible grant sizes. </w:t>
      </w:r>
    </w:p>
    <w:p w14:paraId="1FAB7CDF" w14:textId="77777777" w:rsidR="009748D3" w:rsidRPr="00E77528" w:rsidRDefault="009748D3" w:rsidP="009748D3"/>
    <w:p w14:paraId="2CBDE2B1" w14:textId="77777777" w:rsidR="009748D3" w:rsidRDefault="009748D3" w:rsidP="009748D3">
      <w:pPr>
        <w:pStyle w:val="Caption"/>
        <w:keepNext/>
      </w:pPr>
      <w:r>
        <w:t xml:space="preserve">Table </w:t>
      </w:r>
      <w:r>
        <w:fldChar w:fldCharType="begin"/>
      </w:r>
      <w:r>
        <w:instrText xml:space="preserve"> SEQ Table \* ARABIC </w:instrText>
      </w:r>
      <w:r>
        <w:fldChar w:fldCharType="separate"/>
      </w:r>
      <w:r>
        <w:rPr>
          <w:noProof/>
        </w:rPr>
        <w:t>1</w:t>
      </w:r>
      <w:r>
        <w:fldChar w:fldCharType="end"/>
      </w:r>
      <w:r>
        <w:t>.</w:t>
      </w:r>
      <w:r w:rsidRPr="00F06F8C">
        <w:t xml:space="preserve"> </w:t>
      </w:r>
      <w:r>
        <w:t>MCS index for Msg3 NPUSCH (Table 16.3.3-1 in TS 36.213)</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9748D3" w:rsidRPr="00E9040D" w14:paraId="22654958" w14:textId="77777777" w:rsidTr="00BC2C15">
        <w:trPr>
          <w:cantSplit/>
        </w:trPr>
        <w:tc>
          <w:tcPr>
            <w:tcW w:w="810" w:type="dxa"/>
            <w:tcBorders>
              <w:bottom w:val="double" w:sz="4" w:space="0" w:color="auto"/>
              <w:right w:val="double" w:sz="4" w:space="0" w:color="auto"/>
            </w:tcBorders>
            <w:shd w:val="clear" w:color="auto" w:fill="E0E0E0"/>
            <w:vAlign w:val="center"/>
          </w:tcPr>
          <w:p w14:paraId="0BAE6AC8" w14:textId="77777777" w:rsidR="009748D3" w:rsidRPr="00D10AC8" w:rsidRDefault="009748D3" w:rsidP="00BC2C15">
            <w:pPr>
              <w:pStyle w:val="TAH"/>
              <w:rPr>
                <w:bCs/>
                <w:lang w:val="en-US"/>
              </w:rPr>
            </w:pPr>
            <w:r w:rsidRPr="00D10AC8">
              <w:rPr>
                <w:bCs/>
                <w:lang w:val="en-US"/>
              </w:rPr>
              <w:t>MCS Index</w:t>
            </w:r>
            <w:r w:rsidRPr="00D10AC8">
              <w:rPr>
                <w:bCs/>
                <w:lang w:val="en-US"/>
              </w:rPr>
              <w:br/>
            </w:r>
            <w:r w:rsidRPr="00D10AC8">
              <w:rPr>
                <w:position w:val="-10"/>
              </w:rPr>
              <w:object w:dxaOrig="440" w:dyaOrig="340" w14:anchorId="5508E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7.3pt" o:ole="">
                  <v:imagedata r:id="rId10" o:title=""/>
                </v:shape>
                <o:OLEObject Type="Embed" ProgID="Equation.3" ShapeID="_x0000_i1025" DrawAspect="Content" ObjectID="_1572403638" r:id="rId11"/>
              </w:object>
            </w:r>
          </w:p>
        </w:tc>
        <w:tc>
          <w:tcPr>
            <w:tcW w:w="4230" w:type="dxa"/>
            <w:tcBorders>
              <w:left w:val="double" w:sz="4" w:space="0" w:color="auto"/>
              <w:bottom w:val="double" w:sz="4" w:space="0" w:color="auto"/>
            </w:tcBorders>
            <w:shd w:val="clear" w:color="auto" w:fill="E0E0E0"/>
            <w:vAlign w:val="center"/>
          </w:tcPr>
          <w:p w14:paraId="3D434343" w14:textId="77777777" w:rsidR="009748D3" w:rsidRDefault="009748D3" w:rsidP="00BC2C15">
            <w:pPr>
              <w:pStyle w:val="TAH"/>
              <w:rPr>
                <w:bCs/>
                <w:lang w:val="en-US"/>
              </w:rPr>
            </w:pPr>
            <w:r>
              <w:rPr>
                <w:bCs/>
                <w:lang w:val="en-US"/>
              </w:rPr>
              <w:t>Modulation</w:t>
            </w:r>
          </w:p>
          <w:p w14:paraId="58783B8D" w14:textId="77777777" w:rsidR="009748D3" w:rsidRDefault="009748D3" w:rsidP="00BC2C15">
            <w:pPr>
              <w:pStyle w:val="TAH"/>
              <w:rPr>
                <w:bCs/>
                <w:lang w:val="en-US"/>
              </w:rPr>
            </w:pPr>
          </w:p>
          <w:p w14:paraId="179184BD" w14:textId="77777777" w:rsidR="009748D3" w:rsidRPr="00935C4D" w:rsidRDefault="009748D3" w:rsidP="00BC2C15">
            <w:pPr>
              <w:pStyle w:val="TAH"/>
              <w:rPr>
                <w:bCs/>
                <w:lang w:val="en-US"/>
              </w:rPr>
            </w:pPr>
            <w:r w:rsidRPr="00904B7F">
              <w:rPr>
                <w:position w:val="-10"/>
              </w:rPr>
              <w:object w:dxaOrig="1219" w:dyaOrig="300" w14:anchorId="50CBA64D">
                <v:shape id="_x0000_i1026" type="#_x0000_t75" style="width:54.15pt;height:13.8pt" o:ole="">
                  <v:imagedata r:id="rId12" o:title=""/>
                </v:shape>
                <o:OLEObject Type="Embed" ProgID="Equation.3" ShapeID="_x0000_i1026" DrawAspect="Content" ObjectID="_1572403639" r:id="rId13"/>
              </w:object>
            </w:r>
            <w:r>
              <w:t xml:space="preserve"> or </w:t>
            </w:r>
            <w:r w:rsidRPr="00904B7F">
              <w:rPr>
                <w:position w:val="-10"/>
              </w:rPr>
              <w:object w:dxaOrig="1280" w:dyaOrig="320" w14:anchorId="2FB7CB97">
                <v:shape id="_x0000_i1027" type="#_x0000_t75" style="width:48.95pt;height:11.5pt" o:ole="">
                  <v:imagedata r:id="rId14" o:title=""/>
                </v:shape>
                <o:OLEObject Type="Embed" ProgID="Equation.3" ShapeID="_x0000_i1027" DrawAspect="Content" ObjectID="_1572403640" r:id="rId15"/>
              </w:object>
            </w:r>
            <w:r>
              <w:t>and</w:t>
            </w:r>
            <w:r w:rsidRPr="00935C4D">
              <w:rPr>
                <w:position w:val="-12"/>
              </w:rPr>
              <w:object w:dxaOrig="1380" w:dyaOrig="360" w14:anchorId="390A1DBF">
                <v:shape id="_x0000_i1028" type="#_x0000_t75" style="width:54.7pt;height:14.4pt" o:ole="">
                  <v:imagedata r:id="rId16" o:title=""/>
                </v:shape>
                <o:OLEObject Type="Embed" ProgID="Equation.3" ShapeID="_x0000_i1028" DrawAspect="Content" ObjectID="_1572403641" r:id="rId17"/>
              </w:object>
            </w:r>
          </w:p>
        </w:tc>
        <w:tc>
          <w:tcPr>
            <w:tcW w:w="2250" w:type="dxa"/>
            <w:tcBorders>
              <w:bottom w:val="double" w:sz="4" w:space="0" w:color="auto"/>
            </w:tcBorders>
            <w:shd w:val="clear" w:color="auto" w:fill="E0E0E0"/>
            <w:vAlign w:val="center"/>
          </w:tcPr>
          <w:p w14:paraId="449E0B72" w14:textId="77777777" w:rsidR="009748D3" w:rsidRDefault="009748D3" w:rsidP="00BC2C15">
            <w:pPr>
              <w:pStyle w:val="TAH"/>
              <w:rPr>
                <w:bCs/>
                <w:lang w:val="en-US"/>
              </w:rPr>
            </w:pPr>
            <w:r>
              <w:rPr>
                <w:bCs/>
                <w:lang w:val="en-US"/>
              </w:rPr>
              <w:t>Modulation</w:t>
            </w:r>
          </w:p>
          <w:p w14:paraId="7E29E482" w14:textId="77777777" w:rsidR="009748D3" w:rsidRDefault="009748D3" w:rsidP="00BC2C15">
            <w:pPr>
              <w:pStyle w:val="TAH"/>
              <w:rPr>
                <w:bCs/>
                <w:lang w:val="en-US"/>
              </w:rPr>
            </w:pPr>
          </w:p>
          <w:p w14:paraId="28305619" w14:textId="77777777" w:rsidR="009748D3" w:rsidRPr="00E9040D" w:rsidRDefault="009748D3" w:rsidP="00BC2C15">
            <w:pPr>
              <w:pStyle w:val="TAH"/>
              <w:rPr>
                <w:bCs/>
                <w:lang w:val="en-US"/>
              </w:rPr>
            </w:pPr>
            <w:r w:rsidRPr="00904B7F">
              <w:rPr>
                <w:position w:val="-10"/>
              </w:rPr>
              <w:object w:dxaOrig="1280" w:dyaOrig="320" w14:anchorId="54240393">
                <v:shape id="_x0000_i1029" type="#_x0000_t75" style="width:48.95pt;height:11.5pt" o:ole="">
                  <v:imagedata r:id="rId14" o:title=""/>
                </v:shape>
                <o:OLEObject Type="Embed" ProgID="Equation.3" ShapeID="_x0000_i1029" DrawAspect="Content" ObjectID="_1572403642" r:id="rId18"/>
              </w:object>
            </w:r>
            <w:r>
              <w:t>and</w:t>
            </w:r>
            <w:r w:rsidRPr="00935C4D">
              <w:rPr>
                <w:position w:val="-12"/>
              </w:rPr>
              <w:object w:dxaOrig="760" w:dyaOrig="360" w14:anchorId="04A9FA6B">
                <v:shape id="_x0000_i1030" type="#_x0000_t75" style="width:30.55pt;height:14.4pt" o:ole="">
                  <v:imagedata r:id="rId19" o:title=""/>
                </v:shape>
                <o:OLEObject Type="Embed" ProgID="Equation.3" ShapeID="_x0000_i1030" DrawAspect="Content" ObjectID="_1572403643" r:id="rId20"/>
              </w:object>
            </w:r>
          </w:p>
        </w:tc>
        <w:tc>
          <w:tcPr>
            <w:tcW w:w="990" w:type="dxa"/>
            <w:tcBorders>
              <w:bottom w:val="double" w:sz="4" w:space="0" w:color="auto"/>
            </w:tcBorders>
            <w:shd w:val="clear" w:color="auto" w:fill="E0E0E0"/>
            <w:vAlign w:val="center"/>
          </w:tcPr>
          <w:p w14:paraId="6163D51F" w14:textId="77777777" w:rsidR="009748D3" w:rsidRDefault="009748D3" w:rsidP="00BC2C15">
            <w:pPr>
              <w:pStyle w:val="TAH"/>
              <w:rPr>
                <w:bCs/>
                <w:lang w:val="en-US"/>
              </w:rPr>
            </w:pPr>
            <w:r>
              <w:rPr>
                <w:bCs/>
                <w:lang w:val="en-US"/>
              </w:rPr>
              <w:t>Number of RUs</w:t>
            </w:r>
          </w:p>
          <w:p w14:paraId="4DF3F082" w14:textId="77777777" w:rsidR="009748D3" w:rsidRPr="00E9040D" w:rsidRDefault="009748D3" w:rsidP="00BC2C15">
            <w:pPr>
              <w:pStyle w:val="TAH"/>
              <w:rPr>
                <w:bCs/>
                <w:lang w:val="en-US"/>
              </w:rPr>
            </w:pPr>
            <w:r w:rsidRPr="00935C4D">
              <w:rPr>
                <w:position w:val="-12"/>
              </w:rPr>
              <w:object w:dxaOrig="460" w:dyaOrig="360" w14:anchorId="07F89073">
                <v:shape id="_x0000_i1031" type="#_x0000_t75" style="width:21.3pt;height:16.7pt" o:ole="">
                  <v:imagedata r:id="rId21" o:title=""/>
                </v:shape>
                <o:OLEObject Type="Embed" ProgID="Equation.3" ShapeID="_x0000_i1031" DrawAspect="Content" ObjectID="_1572403644" r:id="rId22"/>
              </w:object>
            </w:r>
          </w:p>
        </w:tc>
        <w:tc>
          <w:tcPr>
            <w:tcW w:w="990" w:type="dxa"/>
            <w:tcBorders>
              <w:bottom w:val="double" w:sz="4" w:space="0" w:color="auto"/>
            </w:tcBorders>
            <w:shd w:val="clear" w:color="auto" w:fill="E0E0E0"/>
            <w:vAlign w:val="center"/>
          </w:tcPr>
          <w:p w14:paraId="225E9ACC" w14:textId="77777777" w:rsidR="009748D3" w:rsidRDefault="009748D3" w:rsidP="00BC2C15">
            <w:pPr>
              <w:pStyle w:val="TAH"/>
              <w:rPr>
                <w:bCs/>
                <w:lang w:val="en-US"/>
              </w:rPr>
            </w:pPr>
            <w:r>
              <w:rPr>
                <w:bCs/>
                <w:lang w:val="en-US"/>
              </w:rPr>
              <w:t>TBS</w:t>
            </w:r>
          </w:p>
        </w:tc>
      </w:tr>
      <w:tr w:rsidR="009748D3" w:rsidRPr="00E9040D" w14:paraId="20033A81" w14:textId="77777777" w:rsidTr="00BC2C15">
        <w:trPr>
          <w:cantSplit/>
        </w:trPr>
        <w:tc>
          <w:tcPr>
            <w:tcW w:w="810" w:type="dxa"/>
            <w:tcBorders>
              <w:top w:val="double" w:sz="4" w:space="0" w:color="auto"/>
              <w:right w:val="double" w:sz="4" w:space="0" w:color="auto"/>
            </w:tcBorders>
            <w:shd w:val="clear" w:color="auto" w:fill="auto"/>
            <w:vAlign w:val="center"/>
          </w:tcPr>
          <w:p w14:paraId="22BB8884" w14:textId="77777777" w:rsidR="009748D3" w:rsidRPr="00DA286F" w:rsidRDefault="009748D3" w:rsidP="00BC2C15">
            <w:pPr>
              <w:pStyle w:val="TAC"/>
              <w:rPr>
                <w:lang w:val="en-US"/>
              </w:rPr>
            </w:pPr>
            <w:r>
              <w:rPr>
                <w:lang w:val="en-US"/>
              </w:rPr>
              <w:t>‘00</w:t>
            </w:r>
            <w:r w:rsidRPr="00DA286F">
              <w:rPr>
                <w:lang w:val="en-US"/>
              </w:rPr>
              <w:t>0</w:t>
            </w:r>
            <w:r>
              <w:rPr>
                <w:lang w:val="en-US"/>
              </w:rPr>
              <w:t>’</w:t>
            </w:r>
          </w:p>
        </w:tc>
        <w:tc>
          <w:tcPr>
            <w:tcW w:w="4230" w:type="dxa"/>
            <w:tcBorders>
              <w:top w:val="double" w:sz="4" w:space="0" w:color="auto"/>
              <w:left w:val="double" w:sz="4" w:space="0" w:color="auto"/>
            </w:tcBorders>
            <w:vAlign w:val="center"/>
          </w:tcPr>
          <w:p w14:paraId="0F70F7BD" w14:textId="77777777" w:rsidR="009748D3" w:rsidRPr="00E9040D" w:rsidRDefault="009748D3" w:rsidP="00BC2C15">
            <w:pPr>
              <w:pStyle w:val="TAC"/>
              <w:rPr>
                <w:lang w:val="en-US"/>
              </w:rPr>
            </w:pPr>
            <w:r>
              <w:rPr>
                <w:lang w:val="en-US"/>
              </w:rPr>
              <w:t>pi/2 BPSK</w:t>
            </w:r>
          </w:p>
        </w:tc>
        <w:tc>
          <w:tcPr>
            <w:tcW w:w="2250" w:type="dxa"/>
            <w:tcBorders>
              <w:top w:val="double" w:sz="4" w:space="0" w:color="auto"/>
            </w:tcBorders>
            <w:vAlign w:val="center"/>
          </w:tcPr>
          <w:p w14:paraId="7BDCC195" w14:textId="77777777" w:rsidR="009748D3" w:rsidRPr="00E9040D" w:rsidRDefault="009748D3" w:rsidP="00BC2C15">
            <w:pPr>
              <w:pStyle w:val="TAC"/>
              <w:rPr>
                <w:lang w:val="en-US"/>
              </w:rPr>
            </w:pPr>
            <w:r>
              <w:rPr>
                <w:lang w:val="en-US"/>
              </w:rPr>
              <w:t>QPSK</w:t>
            </w:r>
          </w:p>
        </w:tc>
        <w:tc>
          <w:tcPr>
            <w:tcW w:w="990" w:type="dxa"/>
            <w:tcBorders>
              <w:top w:val="double" w:sz="4" w:space="0" w:color="auto"/>
            </w:tcBorders>
            <w:vAlign w:val="center"/>
          </w:tcPr>
          <w:p w14:paraId="5EFB6C9C" w14:textId="77777777" w:rsidR="009748D3" w:rsidRPr="00E9040D" w:rsidRDefault="009748D3" w:rsidP="00BC2C15">
            <w:pPr>
              <w:pStyle w:val="TAC"/>
              <w:rPr>
                <w:lang w:val="en-US"/>
              </w:rPr>
            </w:pPr>
            <w:r>
              <w:rPr>
                <w:lang w:val="en-US"/>
              </w:rPr>
              <w:t>4</w:t>
            </w:r>
          </w:p>
        </w:tc>
        <w:tc>
          <w:tcPr>
            <w:tcW w:w="990" w:type="dxa"/>
            <w:tcBorders>
              <w:top w:val="double" w:sz="4" w:space="0" w:color="auto"/>
            </w:tcBorders>
            <w:vAlign w:val="center"/>
          </w:tcPr>
          <w:p w14:paraId="6E8283B2" w14:textId="77777777" w:rsidR="009748D3" w:rsidRDefault="009748D3" w:rsidP="00BC2C15">
            <w:pPr>
              <w:pStyle w:val="TAC"/>
              <w:rPr>
                <w:lang w:val="en-US"/>
              </w:rPr>
            </w:pPr>
            <w:r>
              <w:rPr>
                <w:lang w:val="en-US"/>
              </w:rPr>
              <w:t>88 bits</w:t>
            </w:r>
          </w:p>
        </w:tc>
      </w:tr>
      <w:tr w:rsidR="009748D3" w:rsidRPr="00E9040D" w14:paraId="18BC33BB" w14:textId="77777777" w:rsidTr="00BC2C15">
        <w:trPr>
          <w:cantSplit/>
        </w:trPr>
        <w:tc>
          <w:tcPr>
            <w:tcW w:w="810" w:type="dxa"/>
            <w:tcBorders>
              <w:right w:val="double" w:sz="4" w:space="0" w:color="auto"/>
            </w:tcBorders>
            <w:shd w:val="clear" w:color="auto" w:fill="auto"/>
            <w:vAlign w:val="center"/>
          </w:tcPr>
          <w:p w14:paraId="36E81DA3" w14:textId="77777777" w:rsidR="009748D3" w:rsidRPr="00DA286F" w:rsidRDefault="009748D3" w:rsidP="00BC2C15">
            <w:pPr>
              <w:pStyle w:val="TAC"/>
              <w:rPr>
                <w:lang w:val="en-US"/>
              </w:rPr>
            </w:pPr>
            <w:r>
              <w:rPr>
                <w:lang w:val="en-US"/>
              </w:rPr>
              <w:t>‘00</w:t>
            </w:r>
            <w:r w:rsidRPr="00DA286F">
              <w:rPr>
                <w:lang w:val="en-US"/>
              </w:rPr>
              <w:t>1</w:t>
            </w:r>
            <w:r>
              <w:rPr>
                <w:lang w:val="en-US"/>
              </w:rPr>
              <w:t>’</w:t>
            </w:r>
          </w:p>
        </w:tc>
        <w:tc>
          <w:tcPr>
            <w:tcW w:w="4230" w:type="dxa"/>
            <w:tcBorders>
              <w:left w:val="double" w:sz="4" w:space="0" w:color="auto"/>
            </w:tcBorders>
            <w:vAlign w:val="center"/>
          </w:tcPr>
          <w:p w14:paraId="01C5C797" w14:textId="77777777" w:rsidR="009748D3" w:rsidRPr="00E9040D" w:rsidRDefault="009748D3" w:rsidP="00BC2C15">
            <w:pPr>
              <w:pStyle w:val="TAC"/>
              <w:rPr>
                <w:lang w:val="en-US"/>
              </w:rPr>
            </w:pPr>
            <w:r>
              <w:rPr>
                <w:lang w:val="en-US"/>
              </w:rPr>
              <w:t>pi/4 QPSK</w:t>
            </w:r>
          </w:p>
        </w:tc>
        <w:tc>
          <w:tcPr>
            <w:tcW w:w="2250" w:type="dxa"/>
            <w:vAlign w:val="center"/>
          </w:tcPr>
          <w:p w14:paraId="1B86A960" w14:textId="77777777" w:rsidR="009748D3" w:rsidRPr="00E9040D" w:rsidRDefault="009748D3" w:rsidP="00BC2C15">
            <w:pPr>
              <w:pStyle w:val="TAC"/>
              <w:rPr>
                <w:lang w:val="en-US"/>
              </w:rPr>
            </w:pPr>
            <w:r>
              <w:rPr>
                <w:lang w:val="en-US"/>
              </w:rPr>
              <w:t>QPSK</w:t>
            </w:r>
          </w:p>
        </w:tc>
        <w:tc>
          <w:tcPr>
            <w:tcW w:w="990" w:type="dxa"/>
            <w:vAlign w:val="center"/>
          </w:tcPr>
          <w:p w14:paraId="181C803A" w14:textId="77777777" w:rsidR="009748D3" w:rsidRPr="00E9040D" w:rsidRDefault="009748D3" w:rsidP="00BC2C15">
            <w:pPr>
              <w:pStyle w:val="TAC"/>
              <w:rPr>
                <w:lang w:val="en-US"/>
              </w:rPr>
            </w:pPr>
            <w:r>
              <w:rPr>
                <w:lang w:val="en-US"/>
              </w:rPr>
              <w:t>3</w:t>
            </w:r>
          </w:p>
        </w:tc>
        <w:tc>
          <w:tcPr>
            <w:tcW w:w="990" w:type="dxa"/>
            <w:vAlign w:val="center"/>
          </w:tcPr>
          <w:p w14:paraId="186FEBF7" w14:textId="77777777" w:rsidR="009748D3" w:rsidRDefault="009748D3" w:rsidP="00BC2C15">
            <w:pPr>
              <w:pStyle w:val="TAC"/>
              <w:rPr>
                <w:lang w:val="en-US"/>
              </w:rPr>
            </w:pPr>
            <w:r>
              <w:rPr>
                <w:lang w:val="en-US"/>
              </w:rPr>
              <w:t>88 bits</w:t>
            </w:r>
          </w:p>
        </w:tc>
      </w:tr>
      <w:tr w:rsidR="009748D3" w:rsidRPr="00E9040D" w14:paraId="7841D40E" w14:textId="77777777" w:rsidTr="00BC2C15">
        <w:trPr>
          <w:cantSplit/>
        </w:trPr>
        <w:tc>
          <w:tcPr>
            <w:tcW w:w="810" w:type="dxa"/>
            <w:tcBorders>
              <w:right w:val="double" w:sz="4" w:space="0" w:color="auto"/>
            </w:tcBorders>
            <w:shd w:val="clear" w:color="auto" w:fill="auto"/>
            <w:vAlign w:val="center"/>
          </w:tcPr>
          <w:p w14:paraId="07194DFA" w14:textId="77777777" w:rsidR="009748D3" w:rsidRPr="00DA286F" w:rsidRDefault="009748D3" w:rsidP="00BC2C15">
            <w:pPr>
              <w:pStyle w:val="TAC"/>
            </w:pPr>
            <w:r>
              <w:t>‘010’</w:t>
            </w:r>
          </w:p>
        </w:tc>
        <w:tc>
          <w:tcPr>
            <w:tcW w:w="4230" w:type="dxa"/>
            <w:tcBorders>
              <w:left w:val="double" w:sz="4" w:space="0" w:color="auto"/>
            </w:tcBorders>
            <w:vAlign w:val="center"/>
          </w:tcPr>
          <w:p w14:paraId="70D11668" w14:textId="77777777" w:rsidR="009748D3" w:rsidRPr="00E9040D" w:rsidRDefault="009748D3" w:rsidP="00BC2C15">
            <w:pPr>
              <w:pStyle w:val="TAC"/>
            </w:pPr>
            <w:r>
              <w:t>pi/4 QPSK</w:t>
            </w:r>
          </w:p>
        </w:tc>
        <w:tc>
          <w:tcPr>
            <w:tcW w:w="2250" w:type="dxa"/>
            <w:vAlign w:val="center"/>
          </w:tcPr>
          <w:p w14:paraId="20558287" w14:textId="77777777" w:rsidR="009748D3" w:rsidRPr="00E9040D" w:rsidRDefault="009748D3" w:rsidP="00BC2C15">
            <w:pPr>
              <w:pStyle w:val="TAC"/>
            </w:pPr>
            <w:r>
              <w:t>QPSK</w:t>
            </w:r>
          </w:p>
        </w:tc>
        <w:tc>
          <w:tcPr>
            <w:tcW w:w="990" w:type="dxa"/>
            <w:vAlign w:val="center"/>
          </w:tcPr>
          <w:p w14:paraId="0B7D3A81" w14:textId="77777777" w:rsidR="009748D3" w:rsidRPr="00E9040D" w:rsidRDefault="009748D3" w:rsidP="00BC2C15">
            <w:pPr>
              <w:pStyle w:val="TAC"/>
            </w:pPr>
            <w:r>
              <w:t>1</w:t>
            </w:r>
          </w:p>
        </w:tc>
        <w:tc>
          <w:tcPr>
            <w:tcW w:w="990" w:type="dxa"/>
            <w:vAlign w:val="center"/>
          </w:tcPr>
          <w:p w14:paraId="5E3A28F3" w14:textId="77777777" w:rsidR="009748D3" w:rsidRDefault="009748D3" w:rsidP="00BC2C15">
            <w:pPr>
              <w:pStyle w:val="TAC"/>
            </w:pPr>
            <w:r>
              <w:t>88 bits</w:t>
            </w:r>
          </w:p>
        </w:tc>
      </w:tr>
      <w:tr w:rsidR="009748D3" w:rsidRPr="00E9040D" w14:paraId="4A45E78C" w14:textId="77777777" w:rsidTr="00BC2C15">
        <w:trPr>
          <w:cantSplit/>
        </w:trPr>
        <w:tc>
          <w:tcPr>
            <w:tcW w:w="810" w:type="dxa"/>
            <w:tcBorders>
              <w:right w:val="double" w:sz="4" w:space="0" w:color="auto"/>
            </w:tcBorders>
            <w:shd w:val="clear" w:color="auto" w:fill="auto"/>
            <w:vAlign w:val="center"/>
          </w:tcPr>
          <w:p w14:paraId="10711EDD" w14:textId="77777777" w:rsidR="009748D3" w:rsidRPr="00DA286F" w:rsidRDefault="009748D3" w:rsidP="00BC2C15">
            <w:pPr>
              <w:pStyle w:val="TAC"/>
            </w:pPr>
            <w:r>
              <w:t>‘011’</w:t>
            </w:r>
          </w:p>
        </w:tc>
        <w:tc>
          <w:tcPr>
            <w:tcW w:w="4230" w:type="dxa"/>
            <w:tcBorders>
              <w:left w:val="double" w:sz="4" w:space="0" w:color="auto"/>
            </w:tcBorders>
            <w:vAlign w:val="center"/>
          </w:tcPr>
          <w:p w14:paraId="5EB9CED6" w14:textId="77777777" w:rsidR="009748D3" w:rsidRPr="00E9040D" w:rsidRDefault="009748D3" w:rsidP="00BC2C15">
            <w:pPr>
              <w:pStyle w:val="TAC"/>
            </w:pPr>
            <w:r>
              <w:t>reserved</w:t>
            </w:r>
          </w:p>
        </w:tc>
        <w:tc>
          <w:tcPr>
            <w:tcW w:w="2250" w:type="dxa"/>
            <w:vAlign w:val="center"/>
          </w:tcPr>
          <w:p w14:paraId="1940DDAF" w14:textId="77777777" w:rsidR="009748D3" w:rsidRPr="00E9040D" w:rsidRDefault="009748D3" w:rsidP="00BC2C15">
            <w:pPr>
              <w:pStyle w:val="TAC"/>
            </w:pPr>
            <w:r>
              <w:t>reserved</w:t>
            </w:r>
          </w:p>
        </w:tc>
        <w:tc>
          <w:tcPr>
            <w:tcW w:w="990" w:type="dxa"/>
            <w:vAlign w:val="center"/>
          </w:tcPr>
          <w:p w14:paraId="6885324D" w14:textId="77777777" w:rsidR="009748D3" w:rsidRPr="00E9040D" w:rsidRDefault="009748D3" w:rsidP="00BC2C15">
            <w:pPr>
              <w:pStyle w:val="TAC"/>
            </w:pPr>
            <w:r>
              <w:t>reserved</w:t>
            </w:r>
          </w:p>
        </w:tc>
        <w:tc>
          <w:tcPr>
            <w:tcW w:w="990" w:type="dxa"/>
            <w:vAlign w:val="center"/>
          </w:tcPr>
          <w:p w14:paraId="58E7A8DC" w14:textId="77777777" w:rsidR="009748D3" w:rsidRDefault="009748D3" w:rsidP="00BC2C15">
            <w:pPr>
              <w:pStyle w:val="TAC"/>
            </w:pPr>
            <w:r>
              <w:t>reserved</w:t>
            </w:r>
          </w:p>
        </w:tc>
      </w:tr>
      <w:tr w:rsidR="009748D3" w:rsidRPr="00E9040D" w14:paraId="2E1928EA" w14:textId="77777777" w:rsidTr="00BC2C15">
        <w:trPr>
          <w:cantSplit/>
        </w:trPr>
        <w:tc>
          <w:tcPr>
            <w:tcW w:w="810" w:type="dxa"/>
            <w:tcBorders>
              <w:right w:val="double" w:sz="4" w:space="0" w:color="auto"/>
            </w:tcBorders>
            <w:shd w:val="clear" w:color="auto" w:fill="auto"/>
            <w:vAlign w:val="center"/>
          </w:tcPr>
          <w:p w14:paraId="76D0C7B6" w14:textId="77777777" w:rsidR="009748D3" w:rsidRPr="00DA286F" w:rsidRDefault="009748D3" w:rsidP="00BC2C15">
            <w:pPr>
              <w:pStyle w:val="TAC"/>
            </w:pPr>
            <w:r>
              <w:t>‘100’</w:t>
            </w:r>
          </w:p>
        </w:tc>
        <w:tc>
          <w:tcPr>
            <w:tcW w:w="4230" w:type="dxa"/>
            <w:tcBorders>
              <w:left w:val="double" w:sz="4" w:space="0" w:color="auto"/>
            </w:tcBorders>
            <w:vAlign w:val="center"/>
          </w:tcPr>
          <w:p w14:paraId="428A99DD" w14:textId="77777777" w:rsidR="009748D3" w:rsidRPr="00E9040D" w:rsidRDefault="009748D3" w:rsidP="00BC2C15">
            <w:pPr>
              <w:pStyle w:val="TAC"/>
            </w:pPr>
            <w:r>
              <w:t>reserved</w:t>
            </w:r>
          </w:p>
        </w:tc>
        <w:tc>
          <w:tcPr>
            <w:tcW w:w="2250" w:type="dxa"/>
            <w:vAlign w:val="center"/>
          </w:tcPr>
          <w:p w14:paraId="5A3D79CB" w14:textId="77777777" w:rsidR="009748D3" w:rsidRPr="00E9040D" w:rsidRDefault="009748D3" w:rsidP="00BC2C15">
            <w:pPr>
              <w:pStyle w:val="TAC"/>
            </w:pPr>
            <w:r>
              <w:t>reserved</w:t>
            </w:r>
          </w:p>
        </w:tc>
        <w:tc>
          <w:tcPr>
            <w:tcW w:w="990" w:type="dxa"/>
            <w:vAlign w:val="center"/>
          </w:tcPr>
          <w:p w14:paraId="037637AB" w14:textId="77777777" w:rsidR="009748D3" w:rsidRPr="00E9040D" w:rsidRDefault="009748D3" w:rsidP="00BC2C15">
            <w:pPr>
              <w:pStyle w:val="TAC"/>
            </w:pPr>
            <w:r>
              <w:t>reserved</w:t>
            </w:r>
          </w:p>
        </w:tc>
        <w:tc>
          <w:tcPr>
            <w:tcW w:w="990" w:type="dxa"/>
            <w:vAlign w:val="center"/>
          </w:tcPr>
          <w:p w14:paraId="69424335" w14:textId="77777777" w:rsidR="009748D3" w:rsidRDefault="009748D3" w:rsidP="00BC2C15">
            <w:pPr>
              <w:pStyle w:val="TAC"/>
            </w:pPr>
            <w:r>
              <w:t>reserved</w:t>
            </w:r>
          </w:p>
        </w:tc>
      </w:tr>
      <w:tr w:rsidR="009748D3" w:rsidRPr="00E9040D" w14:paraId="2ED32AA5" w14:textId="77777777" w:rsidTr="00BC2C15">
        <w:trPr>
          <w:cantSplit/>
        </w:trPr>
        <w:tc>
          <w:tcPr>
            <w:tcW w:w="810" w:type="dxa"/>
            <w:tcBorders>
              <w:right w:val="double" w:sz="4" w:space="0" w:color="auto"/>
            </w:tcBorders>
            <w:shd w:val="clear" w:color="auto" w:fill="auto"/>
            <w:vAlign w:val="center"/>
          </w:tcPr>
          <w:p w14:paraId="164358A0" w14:textId="77777777" w:rsidR="009748D3" w:rsidRPr="00DA286F" w:rsidRDefault="009748D3" w:rsidP="00BC2C15">
            <w:pPr>
              <w:pStyle w:val="TAC"/>
            </w:pPr>
            <w:r>
              <w:t>‘101’</w:t>
            </w:r>
          </w:p>
        </w:tc>
        <w:tc>
          <w:tcPr>
            <w:tcW w:w="4230" w:type="dxa"/>
            <w:tcBorders>
              <w:left w:val="double" w:sz="4" w:space="0" w:color="auto"/>
            </w:tcBorders>
            <w:vAlign w:val="center"/>
          </w:tcPr>
          <w:p w14:paraId="30ABADC5" w14:textId="77777777" w:rsidR="009748D3" w:rsidRPr="00E9040D" w:rsidRDefault="009748D3" w:rsidP="00BC2C15">
            <w:pPr>
              <w:pStyle w:val="TAC"/>
            </w:pPr>
            <w:r>
              <w:t>reserved</w:t>
            </w:r>
          </w:p>
        </w:tc>
        <w:tc>
          <w:tcPr>
            <w:tcW w:w="2250" w:type="dxa"/>
            <w:vAlign w:val="center"/>
          </w:tcPr>
          <w:p w14:paraId="45362885" w14:textId="77777777" w:rsidR="009748D3" w:rsidRPr="00E9040D" w:rsidRDefault="009748D3" w:rsidP="00BC2C15">
            <w:pPr>
              <w:pStyle w:val="TAC"/>
            </w:pPr>
            <w:r>
              <w:t>reserved</w:t>
            </w:r>
          </w:p>
        </w:tc>
        <w:tc>
          <w:tcPr>
            <w:tcW w:w="990" w:type="dxa"/>
            <w:vAlign w:val="center"/>
          </w:tcPr>
          <w:p w14:paraId="49BD5ADF" w14:textId="77777777" w:rsidR="009748D3" w:rsidRPr="00E9040D" w:rsidRDefault="009748D3" w:rsidP="00BC2C15">
            <w:pPr>
              <w:pStyle w:val="TAC"/>
            </w:pPr>
            <w:r>
              <w:t>reserved</w:t>
            </w:r>
          </w:p>
        </w:tc>
        <w:tc>
          <w:tcPr>
            <w:tcW w:w="990" w:type="dxa"/>
            <w:vAlign w:val="center"/>
          </w:tcPr>
          <w:p w14:paraId="0053EDB7" w14:textId="77777777" w:rsidR="009748D3" w:rsidRDefault="009748D3" w:rsidP="00BC2C15">
            <w:pPr>
              <w:pStyle w:val="TAC"/>
            </w:pPr>
            <w:r>
              <w:t>reserved</w:t>
            </w:r>
          </w:p>
        </w:tc>
      </w:tr>
      <w:tr w:rsidR="009748D3" w:rsidRPr="00E9040D" w14:paraId="5AC271EC" w14:textId="77777777" w:rsidTr="00BC2C15">
        <w:trPr>
          <w:cantSplit/>
        </w:trPr>
        <w:tc>
          <w:tcPr>
            <w:tcW w:w="810" w:type="dxa"/>
            <w:tcBorders>
              <w:right w:val="double" w:sz="4" w:space="0" w:color="auto"/>
            </w:tcBorders>
            <w:shd w:val="clear" w:color="auto" w:fill="auto"/>
            <w:vAlign w:val="center"/>
          </w:tcPr>
          <w:p w14:paraId="7617D960" w14:textId="77777777" w:rsidR="009748D3" w:rsidRPr="00DA286F" w:rsidRDefault="009748D3" w:rsidP="00BC2C15">
            <w:pPr>
              <w:pStyle w:val="TAC"/>
            </w:pPr>
            <w:r>
              <w:t>‘110’</w:t>
            </w:r>
          </w:p>
        </w:tc>
        <w:tc>
          <w:tcPr>
            <w:tcW w:w="4230" w:type="dxa"/>
            <w:tcBorders>
              <w:left w:val="double" w:sz="4" w:space="0" w:color="auto"/>
            </w:tcBorders>
            <w:vAlign w:val="center"/>
          </w:tcPr>
          <w:p w14:paraId="0BFB3383" w14:textId="77777777" w:rsidR="009748D3" w:rsidRPr="00E9040D" w:rsidRDefault="009748D3" w:rsidP="00BC2C15">
            <w:pPr>
              <w:pStyle w:val="TAC"/>
            </w:pPr>
            <w:r>
              <w:t>reserved</w:t>
            </w:r>
          </w:p>
        </w:tc>
        <w:tc>
          <w:tcPr>
            <w:tcW w:w="2250" w:type="dxa"/>
            <w:vAlign w:val="center"/>
          </w:tcPr>
          <w:p w14:paraId="3EF3D0FA" w14:textId="77777777" w:rsidR="009748D3" w:rsidRPr="00E9040D" w:rsidRDefault="009748D3" w:rsidP="00BC2C15">
            <w:pPr>
              <w:pStyle w:val="TAC"/>
            </w:pPr>
            <w:r>
              <w:t>reserved</w:t>
            </w:r>
          </w:p>
        </w:tc>
        <w:tc>
          <w:tcPr>
            <w:tcW w:w="990" w:type="dxa"/>
            <w:vAlign w:val="center"/>
          </w:tcPr>
          <w:p w14:paraId="2AA4DCFD" w14:textId="77777777" w:rsidR="009748D3" w:rsidRPr="00E9040D" w:rsidRDefault="009748D3" w:rsidP="00BC2C15">
            <w:pPr>
              <w:pStyle w:val="TAC"/>
            </w:pPr>
            <w:r>
              <w:t>reserved</w:t>
            </w:r>
          </w:p>
        </w:tc>
        <w:tc>
          <w:tcPr>
            <w:tcW w:w="990" w:type="dxa"/>
            <w:vAlign w:val="center"/>
          </w:tcPr>
          <w:p w14:paraId="11BEAB68" w14:textId="77777777" w:rsidR="009748D3" w:rsidRDefault="009748D3" w:rsidP="00BC2C15">
            <w:pPr>
              <w:pStyle w:val="TAC"/>
            </w:pPr>
            <w:r>
              <w:t>reserved</w:t>
            </w:r>
          </w:p>
        </w:tc>
      </w:tr>
      <w:tr w:rsidR="009748D3" w:rsidRPr="00E9040D" w14:paraId="4BDC4B05" w14:textId="77777777" w:rsidTr="00BC2C15">
        <w:trPr>
          <w:cantSplit/>
        </w:trPr>
        <w:tc>
          <w:tcPr>
            <w:tcW w:w="810" w:type="dxa"/>
            <w:tcBorders>
              <w:right w:val="double" w:sz="4" w:space="0" w:color="auto"/>
            </w:tcBorders>
            <w:shd w:val="clear" w:color="auto" w:fill="auto"/>
            <w:vAlign w:val="center"/>
          </w:tcPr>
          <w:p w14:paraId="70994CF6" w14:textId="77777777" w:rsidR="009748D3" w:rsidRPr="00DA286F" w:rsidRDefault="009748D3" w:rsidP="00BC2C15">
            <w:pPr>
              <w:pStyle w:val="TAC"/>
            </w:pPr>
            <w:r>
              <w:t>‘111’</w:t>
            </w:r>
          </w:p>
        </w:tc>
        <w:tc>
          <w:tcPr>
            <w:tcW w:w="4230" w:type="dxa"/>
            <w:tcBorders>
              <w:left w:val="double" w:sz="4" w:space="0" w:color="auto"/>
            </w:tcBorders>
            <w:vAlign w:val="center"/>
          </w:tcPr>
          <w:p w14:paraId="442A7E97" w14:textId="77777777" w:rsidR="009748D3" w:rsidRPr="00E9040D" w:rsidRDefault="009748D3" w:rsidP="00BC2C15">
            <w:pPr>
              <w:pStyle w:val="TAC"/>
            </w:pPr>
            <w:r>
              <w:t>reserved</w:t>
            </w:r>
          </w:p>
        </w:tc>
        <w:tc>
          <w:tcPr>
            <w:tcW w:w="2250" w:type="dxa"/>
            <w:vAlign w:val="center"/>
          </w:tcPr>
          <w:p w14:paraId="2D473F33" w14:textId="77777777" w:rsidR="009748D3" w:rsidRPr="00E9040D" w:rsidRDefault="009748D3" w:rsidP="00BC2C15">
            <w:pPr>
              <w:pStyle w:val="TAC"/>
            </w:pPr>
            <w:r>
              <w:t>reserved</w:t>
            </w:r>
          </w:p>
        </w:tc>
        <w:tc>
          <w:tcPr>
            <w:tcW w:w="990" w:type="dxa"/>
            <w:vAlign w:val="center"/>
          </w:tcPr>
          <w:p w14:paraId="215040ED" w14:textId="77777777" w:rsidR="009748D3" w:rsidRPr="00E9040D" w:rsidRDefault="009748D3" w:rsidP="00BC2C15">
            <w:pPr>
              <w:pStyle w:val="TAC"/>
            </w:pPr>
            <w:r>
              <w:t>reserved</w:t>
            </w:r>
          </w:p>
        </w:tc>
        <w:tc>
          <w:tcPr>
            <w:tcW w:w="990" w:type="dxa"/>
            <w:vAlign w:val="center"/>
          </w:tcPr>
          <w:p w14:paraId="1ED77CD2" w14:textId="77777777" w:rsidR="009748D3" w:rsidRDefault="009748D3" w:rsidP="00BC2C15">
            <w:pPr>
              <w:pStyle w:val="TAC"/>
            </w:pPr>
            <w:r>
              <w:t>reserved</w:t>
            </w:r>
          </w:p>
        </w:tc>
      </w:tr>
    </w:tbl>
    <w:p w14:paraId="0A40F63D" w14:textId="4D8C1DBD" w:rsidR="007A2490" w:rsidRDefault="007A2490" w:rsidP="00CE0424">
      <w:pPr>
        <w:pStyle w:val="BodyText"/>
      </w:pPr>
    </w:p>
    <w:p w14:paraId="6BEACABF" w14:textId="6231AC40" w:rsidR="007A2490" w:rsidRDefault="00CC36E5" w:rsidP="007A2490">
      <w:pPr>
        <w:pStyle w:val="Heading1"/>
      </w:pPr>
      <w:bookmarkStart w:id="46" w:name="_Ref498626118"/>
      <w:r>
        <w:t>Examples for c</w:t>
      </w:r>
      <w:r w:rsidR="007A2490">
        <w:t>onfiguration</w:t>
      </w:r>
      <w:r w:rsidR="00E93324">
        <w:t xml:space="preserve"> of </w:t>
      </w:r>
      <w:r>
        <w:t>(N)PRACH resources</w:t>
      </w:r>
      <w:bookmarkEnd w:id="46"/>
    </w:p>
    <w:p w14:paraId="11C16578" w14:textId="2450D1B9" w:rsidR="005F08B6" w:rsidRDefault="005F08B6" w:rsidP="007A2490">
      <w:r>
        <w:t>In this section</w:t>
      </w:r>
      <w:r w:rsidR="00034720">
        <w:t>,</w:t>
      </w:r>
      <w:r>
        <w:t xml:space="preserve"> we explain the possible configuration we also provided in </w:t>
      </w:r>
      <w:r>
        <w:fldChar w:fldCharType="begin"/>
      </w:r>
      <w:r>
        <w:instrText xml:space="preserve"> REF _Ref498592637 \n \h </w:instrText>
      </w:r>
      <w:r>
        <w:fldChar w:fldCharType="separate"/>
      </w:r>
      <w:r>
        <w:t>[1]</w:t>
      </w:r>
      <w:r>
        <w:fldChar w:fldCharType="end"/>
      </w:r>
      <w:r>
        <w:t>. In our view, the eNB should be able to configure either new physical</w:t>
      </w:r>
      <w:r w:rsidR="00273396">
        <w:t xml:space="preserve"> </w:t>
      </w:r>
      <w:r w:rsidR="00B37042">
        <w:t>(</w:t>
      </w:r>
      <w:r w:rsidR="00273396">
        <w:t>time-frequency</w:t>
      </w:r>
      <w:r w:rsidR="00B37042">
        <w:t>)</w:t>
      </w:r>
      <w:r>
        <w:t xml:space="preserve"> (N)PRACH resources, or allocate preambles in the same physical resources by dividing the preambles/subcarriers between legacy and EDT UEs. </w:t>
      </w:r>
      <w:r w:rsidR="00264195">
        <w:t xml:space="preserve">Additionally, it would be up to eNB to configure overlapping preambles/subcarriers, where same preamble/subcarrier could be used by both legacy UEs and UEs to indicate EDT. </w:t>
      </w:r>
    </w:p>
    <w:p w14:paraId="76BAC500" w14:textId="6313ABF3" w:rsidR="00264195" w:rsidRDefault="001353CA" w:rsidP="007A2490">
      <w:r>
        <w:t xml:space="preserve">Additionally, we think eNB should be able to configure separate physical resources, e.g. using anchor carriers in NB-IoT or </w:t>
      </w:r>
      <w:r w:rsidR="00FC06A1">
        <w:t>PRACH configurations or PRACH frequencies</w:t>
      </w:r>
      <w:r>
        <w:t xml:space="preserve"> for </w:t>
      </w:r>
      <w:r w:rsidR="00E352B7">
        <w:t>LTE-</w:t>
      </w:r>
      <w:r>
        <w:t xml:space="preserve">MTC. </w:t>
      </w:r>
    </w:p>
    <w:p w14:paraId="4FE90512" w14:textId="11E26D3B" w:rsidR="001353CA" w:rsidRDefault="001353CA" w:rsidP="007A2490">
      <w:r>
        <w:t xml:space="preserve">Combination of these would provide the most flexible way for configuring the EDT indication. </w:t>
      </w:r>
    </w:p>
    <w:p w14:paraId="3E6952D6" w14:textId="77777777" w:rsidR="001353CA" w:rsidRDefault="001353CA" w:rsidP="007A2490"/>
    <w:p w14:paraId="08608000" w14:textId="32B18F6D" w:rsidR="001353CA" w:rsidRDefault="005F08B6" w:rsidP="001353CA">
      <w:pPr>
        <w:pStyle w:val="Proposal"/>
      </w:pPr>
      <w:bookmarkStart w:id="47" w:name="_Toc498618600"/>
      <w:bookmarkStart w:id="48" w:name="_Toc498655260"/>
      <w:bookmarkStart w:id="49" w:name="_Toc498661769"/>
      <w:bookmarkStart w:id="50" w:name="_Toc498661803"/>
      <w:r>
        <w:t>Consider the configuration options in Section 3 for EDT indication configuration.</w:t>
      </w:r>
      <w:bookmarkEnd w:id="47"/>
      <w:bookmarkEnd w:id="48"/>
      <w:bookmarkEnd w:id="49"/>
      <w:bookmarkEnd w:id="50"/>
      <w:r>
        <w:t xml:space="preserve"> </w:t>
      </w:r>
    </w:p>
    <w:p w14:paraId="77E2EC88" w14:textId="4105438D" w:rsidR="001353CA" w:rsidRDefault="001353CA" w:rsidP="001353CA">
      <w:pPr>
        <w:pStyle w:val="Proposal"/>
        <w:numPr>
          <w:ilvl w:val="0"/>
          <w:numId w:val="0"/>
        </w:numPr>
        <w:ind w:left="1701" w:hanging="1701"/>
      </w:pPr>
    </w:p>
    <w:p w14:paraId="18286EB7" w14:textId="0B7FEF31" w:rsidR="00CC36E5" w:rsidRDefault="001353CA" w:rsidP="001353CA">
      <w:pPr>
        <w:pStyle w:val="Heading2"/>
      </w:pPr>
      <w:r>
        <w:t xml:space="preserve">Example configuration for </w:t>
      </w:r>
      <w:r w:rsidR="009D6B33">
        <w:t>LTE-MTC</w:t>
      </w:r>
    </w:p>
    <w:p w14:paraId="3D109AC7" w14:textId="6DF0DE88" w:rsidR="007A2490" w:rsidRDefault="007A2490" w:rsidP="007A2490">
      <w:pPr>
        <w:rPr>
          <w:rFonts w:eastAsia="SimSun"/>
        </w:rPr>
      </w:pPr>
      <w:r>
        <w:rPr>
          <w:rFonts w:eastAsia="SimSun"/>
        </w:rPr>
        <w:t xml:space="preserve">For </w:t>
      </w:r>
      <w:r w:rsidR="009D6B33">
        <w:rPr>
          <w:rFonts w:eastAsia="SimSun"/>
        </w:rPr>
        <w:t>LTE-M</w:t>
      </w:r>
      <w:r>
        <w:rPr>
          <w:rFonts w:eastAsia="SimSun"/>
        </w:rPr>
        <w:t>TC, the configuration may be implemented as follows.</w:t>
      </w:r>
    </w:p>
    <w:p w14:paraId="410E967D" w14:textId="77777777" w:rsidR="007A2490" w:rsidRDefault="007A2490" w:rsidP="007A2490">
      <w:pPr>
        <w:rPr>
          <w:rFonts w:eastAsia="SimSun"/>
          <w:i/>
        </w:rPr>
      </w:pPr>
      <w:r>
        <w:rPr>
          <w:rFonts w:eastAsia="SimSun"/>
        </w:rPr>
        <w:t>In</w:t>
      </w:r>
      <w:r>
        <w:rPr>
          <w:rFonts w:eastAsia="SimSun"/>
          <w:i/>
        </w:rPr>
        <w:t xml:space="preserve"> RACH-ConfigCommon:</w:t>
      </w:r>
    </w:p>
    <w:p w14:paraId="67B01D36" w14:textId="77777777" w:rsidR="007A2490" w:rsidRDefault="007A2490" w:rsidP="007A2490">
      <w:pPr>
        <w:pStyle w:val="PL"/>
        <w:shd w:val="clear" w:color="auto" w:fill="E6E6E6"/>
        <w:jc w:val="both"/>
      </w:pPr>
      <w:r>
        <w:t>RACH-CE-LevelInfoList-r13 ::=   SEQUENCE (SIZE (1..maxCE-Level-r13)) OF RACH-CE-LevelInfo-r13</w:t>
      </w:r>
    </w:p>
    <w:p w14:paraId="6A5D9EB8" w14:textId="77777777" w:rsidR="007A2490" w:rsidRDefault="007A2490" w:rsidP="007A2490">
      <w:pPr>
        <w:pStyle w:val="PL"/>
        <w:shd w:val="clear" w:color="auto" w:fill="E6E6E6"/>
        <w:jc w:val="both"/>
      </w:pPr>
    </w:p>
    <w:p w14:paraId="249EED96" w14:textId="77777777" w:rsidR="007A2490" w:rsidRDefault="007A2490" w:rsidP="007A2490">
      <w:pPr>
        <w:pStyle w:val="PL"/>
        <w:shd w:val="clear" w:color="auto" w:fill="E6E6E6"/>
        <w:jc w:val="both"/>
      </w:pPr>
      <w:r>
        <w:t>RACH-CE-LevelInfo-r13 ::=      SEQUENCE {</w:t>
      </w:r>
    </w:p>
    <w:p w14:paraId="000D46D3" w14:textId="77777777" w:rsidR="007A2490" w:rsidRDefault="007A2490" w:rsidP="007A2490">
      <w:pPr>
        <w:pStyle w:val="PL"/>
        <w:shd w:val="clear" w:color="auto" w:fill="E6E6E6"/>
        <w:jc w:val="both"/>
      </w:pPr>
      <w:r>
        <w:t>    preambleMappingInfo-r13            SEQUENCE {</w:t>
      </w:r>
    </w:p>
    <w:p w14:paraId="1862AA07" w14:textId="77777777" w:rsidR="007A2490" w:rsidRDefault="007A2490" w:rsidP="007A2490">
      <w:pPr>
        <w:pStyle w:val="PL"/>
        <w:shd w:val="clear" w:color="auto" w:fill="E6E6E6"/>
        <w:jc w:val="both"/>
      </w:pPr>
      <w:r>
        <w:t>       firstPreamble-r13                 INTEGER(0..63),</w:t>
      </w:r>
    </w:p>
    <w:p w14:paraId="1C2189D1" w14:textId="77777777" w:rsidR="007A2490" w:rsidRDefault="007A2490" w:rsidP="007A2490">
      <w:pPr>
        <w:pStyle w:val="PL"/>
        <w:shd w:val="clear" w:color="auto" w:fill="E6E6E6"/>
        <w:ind w:left="384" w:hanging="384"/>
        <w:jc w:val="both"/>
      </w:pPr>
      <w:r>
        <w:t>       lastPreamble-r13                  INTEGER(0..63)</w:t>
      </w:r>
    </w:p>
    <w:p w14:paraId="4DB0CBB2" w14:textId="77777777" w:rsidR="007A2490" w:rsidRDefault="007A2490" w:rsidP="007A2490">
      <w:pPr>
        <w:pStyle w:val="PL"/>
        <w:shd w:val="clear" w:color="auto" w:fill="E6E6E6"/>
        <w:jc w:val="both"/>
      </w:pPr>
      <w:r>
        <w:t>    },</w:t>
      </w:r>
    </w:p>
    <w:p w14:paraId="128338D8" w14:textId="77777777" w:rsidR="007A2490" w:rsidRDefault="007A2490" w:rsidP="007A2490">
      <w:pPr>
        <w:pStyle w:val="PL"/>
        <w:shd w:val="clear" w:color="auto" w:fill="E6E6E6"/>
        <w:jc w:val="both"/>
      </w:pPr>
      <w:r>
        <w:t>    ra-ResponseWindowSize-r13          ENUMERATED {sf20, sf50, sf80, sf120, sf180,</w:t>
      </w:r>
    </w:p>
    <w:p w14:paraId="4F286D64" w14:textId="77777777" w:rsidR="007A2490" w:rsidRDefault="007A2490" w:rsidP="007A2490">
      <w:pPr>
        <w:pStyle w:val="PL"/>
        <w:shd w:val="clear" w:color="auto" w:fill="E6E6E6"/>
        <w:jc w:val="both"/>
      </w:pPr>
      <w:r>
        <w:t>                                                sf240, sf320, sf400},</w:t>
      </w:r>
    </w:p>
    <w:p w14:paraId="5CF974A3" w14:textId="77777777" w:rsidR="007A2490" w:rsidRDefault="007A2490" w:rsidP="007A2490">
      <w:pPr>
        <w:pStyle w:val="PL"/>
        <w:shd w:val="clear" w:color="auto" w:fill="E6E6E6"/>
        <w:jc w:val="both"/>
      </w:pPr>
    </w:p>
    <w:p w14:paraId="68FC6CDA" w14:textId="77777777" w:rsidR="007A2490" w:rsidRDefault="007A2490" w:rsidP="007A2490">
      <w:pPr>
        <w:pStyle w:val="PL"/>
        <w:shd w:val="clear" w:color="auto" w:fill="E6E6E6"/>
        <w:jc w:val="both"/>
      </w:pPr>
      <w:r>
        <w:t>    mac-ContentionResolutionTimer-r13   ENUMERATED {sf80, sf100, sf120,</w:t>
      </w:r>
    </w:p>
    <w:p w14:paraId="36E8C6A8" w14:textId="77777777" w:rsidR="007A2490" w:rsidRDefault="007A2490" w:rsidP="007A2490">
      <w:pPr>
        <w:pStyle w:val="PL"/>
        <w:shd w:val="clear" w:color="auto" w:fill="E6E6E6"/>
        <w:jc w:val="both"/>
      </w:pPr>
      <w:r>
        <w:lastRenderedPageBreak/>
        <w:t>                                                sf160, sf200, sf240, sf480, sf960},</w:t>
      </w:r>
    </w:p>
    <w:p w14:paraId="1B19DE3F" w14:textId="77777777" w:rsidR="007A2490" w:rsidRDefault="007A2490" w:rsidP="007A2490">
      <w:pPr>
        <w:pStyle w:val="PL"/>
        <w:shd w:val="clear" w:color="auto" w:fill="E6E6E6"/>
        <w:jc w:val="both"/>
      </w:pPr>
      <w:r>
        <w:t>    rar-HoppingConfig-r13              ENUMERATED {on,off},</w:t>
      </w:r>
    </w:p>
    <w:p w14:paraId="4A6FC7BD" w14:textId="77777777" w:rsidR="007A2490" w:rsidRDefault="007A2490" w:rsidP="007A2490">
      <w:pPr>
        <w:pStyle w:val="PL"/>
        <w:shd w:val="clear" w:color="auto" w:fill="E6E6E6"/>
        <w:jc w:val="both"/>
        <w:rPr>
          <w:color w:val="FF0000"/>
        </w:rPr>
      </w:pPr>
      <w:r>
        <w:t>    ...</w:t>
      </w:r>
      <w:r>
        <w:rPr>
          <w:color w:val="FF0000"/>
        </w:rPr>
        <w:t>,</w:t>
      </w:r>
    </w:p>
    <w:p w14:paraId="3D4E87FC" w14:textId="77777777" w:rsidR="007A2490" w:rsidRPr="00A6550C" w:rsidRDefault="007A2490" w:rsidP="007A2490">
      <w:pPr>
        <w:pStyle w:val="PL"/>
        <w:shd w:val="clear" w:color="auto" w:fill="E6E6E6"/>
        <w:jc w:val="both"/>
        <w:rPr>
          <w:color w:val="FF0000"/>
          <w:highlight w:val="yellow"/>
        </w:rPr>
      </w:pPr>
      <w:r>
        <w:t xml:space="preserve">    </w:t>
      </w:r>
      <w:r w:rsidRPr="00A6550C">
        <w:rPr>
          <w:color w:val="FF0000"/>
          <w:highlight w:val="yellow"/>
        </w:rPr>
        <w:t>[[  preambleMappingInfo-EDT-r15     SEQUENCE {</w:t>
      </w:r>
    </w:p>
    <w:p w14:paraId="08C39EB9" w14:textId="77777777" w:rsidR="007A2490" w:rsidRPr="00A6550C" w:rsidRDefault="007A2490" w:rsidP="007A2490">
      <w:pPr>
        <w:pStyle w:val="PL"/>
        <w:shd w:val="clear" w:color="auto" w:fill="E6E6E6"/>
        <w:jc w:val="both"/>
        <w:rPr>
          <w:color w:val="FF0000"/>
          <w:highlight w:val="yellow"/>
        </w:rPr>
      </w:pPr>
      <w:r w:rsidRPr="00A6550C">
        <w:rPr>
          <w:color w:val="FF0000"/>
          <w:highlight w:val="yellow"/>
        </w:rPr>
        <w:t>       firstPreamble-EDT-r15              INTEGER(0..63),</w:t>
      </w:r>
    </w:p>
    <w:p w14:paraId="53ACE052" w14:textId="77777777" w:rsidR="007A2490" w:rsidRPr="00A6550C" w:rsidRDefault="007A2490" w:rsidP="007A2490">
      <w:pPr>
        <w:pStyle w:val="PL"/>
        <w:shd w:val="clear" w:color="auto" w:fill="E6E6E6"/>
        <w:ind w:left="384" w:hanging="384"/>
        <w:jc w:val="both"/>
        <w:rPr>
          <w:color w:val="FF0000"/>
          <w:highlight w:val="yellow"/>
        </w:rPr>
      </w:pPr>
      <w:r w:rsidRPr="00A6550C">
        <w:rPr>
          <w:color w:val="FF0000"/>
          <w:highlight w:val="yellow"/>
        </w:rPr>
        <w:t>       lastPreamble-EDT-r15               INTEGER(0..63)</w:t>
      </w:r>
    </w:p>
    <w:p w14:paraId="2A267DB6" w14:textId="77777777" w:rsidR="007A2490" w:rsidRDefault="007A2490" w:rsidP="007A2490">
      <w:pPr>
        <w:pStyle w:val="PL"/>
        <w:shd w:val="clear" w:color="auto" w:fill="E6E6E6"/>
        <w:jc w:val="both"/>
        <w:rPr>
          <w:color w:val="FF0000"/>
        </w:rPr>
      </w:pPr>
      <w:r w:rsidRPr="00A6550C">
        <w:rPr>
          <w:color w:val="FF0000"/>
          <w:highlight w:val="yellow"/>
        </w:rPr>
        <w:t>        }</w:t>
      </w:r>
    </w:p>
    <w:p w14:paraId="21B17361" w14:textId="77777777" w:rsidR="007A2490" w:rsidRDefault="007A2490" w:rsidP="007A2490">
      <w:pPr>
        <w:pStyle w:val="PL"/>
        <w:shd w:val="clear" w:color="auto" w:fill="E6E6E6"/>
        <w:jc w:val="both"/>
      </w:pPr>
      <w:r>
        <w:rPr>
          <w:color w:val="FF0000"/>
        </w:rPr>
        <w:t>    ]]</w:t>
      </w:r>
    </w:p>
    <w:p w14:paraId="2FA415EC" w14:textId="77777777" w:rsidR="007A2490" w:rsidRDefault="007A2490" w:rsidP="007A2490">
      <w:pPr>
        <w:pStyle w:val="PL"/>
        <w:shd w:val="clear" w:color="auto" w:fill="E6E6E6"/>
        <w:jc w:val="both"/>
      </w:pPr>
      <w:r>
        <w:t>}</w:t>
      </w:r>
    </w:p>
    <w:p w14:paraId="44E9D5BA" w14:textId="77777777" w:rsidR="007A2490" w:rsidRDefault="007A2490" w:rsidP="007A2490">
      <w:pPr>
        <w:rPr>
          <w:rFonts w:eastAsia="SimSun"/>
        </w:rPr>
      </w:pPr>
    </w:p>
    <w:p w14:paraId="59B915FD" w14:textId="77777777" w:rsidR="007A2490" w:rsidRDefault="007A2490" w:rsidP="007A2490">
      <w:pPr>
        <w:rPr>
          <w:rFonts w:eastAsia="SimSun"/>
        </w:rPr>
      </w:pPr>
      <w:r>
        <w:rPr>
          <w:rFonts w:eastAsia="SimSun"/>
        </w:rPr>
        <w:t>The benefit of this approach would be that preambles used for EDT indication could be configured either as shared or dedicated preambles (as in legacy partitioning).</w:t>
      </w:r>
    </w:p>
    <w:p w14:paraId="2C8D6773" w14:textId="77777777" w:rsidR="007A2490" w:rsidRDefault="007A2490" w:rsidP="007A2490">
      <w:pPr>
        <w:rPr>
          <w:rFonts w:ascii="Calibri" w:hAnsi="Calibri"/>
          <w:lang w:val="en-US" w:eastAsia="en-US"/>
        </w:rPr>
      </w:pPr>
      <w:r>
        <w:t>A sample configuration for the shared case:</w:t>
      </w:r>
    </w:p>
    <w:p w14:paraId="47C666C4" w14:textId="77777777" w:rsidR="007A2490" w:rsidRDefault="007A2490" w:rsidP="007A2490">
      <w:pPr>
        <w:rPr>
          <w:lang w:val="en-US"/>
        </w:rPr>
      </w:pPr>
      <w:r>
        <w:rPr>
          <w:lang w:val="en-US"/>
        </w:rPr>
        <w:t>Preambles used for CE0/CE1/CE2/CE3 (i.e. legacy configuration):</w:t>
      </w:r>
    </w:p>
    <w:p w14:paraId="21614BB1" w14:textId="77777777" w:rsidR="007A2490" w:rsidRDefault="007A2490" w:rsidP="007A2490">
      <w:pPr>
        <w:pStyle w:val="PL"/>
        <w:shd w:val="clear" w:color="auto" w:fill="E6E6E6"/>
        <w:jc w:val="both"/>
      </w:pPr>
      <w:r>
        <w:t>CE0: firstPreamble-r13 = 0, lastPreamble-r13 = 14</w:t>
      </w:r>
    </w:p>
    <w:p w14:paraId="2CA17AA7" w14:textId="77777777" w:rsidR="007A2490" w:rsidRDefault="007A2490" w:rsidP="007A2490">
      <w:pPr>
        <w:pStyle w:val="PL"/>
        <w:shd w:val="clear" w:color="auto" w:fill="E6E6E6"/>
        <w:jc w:val="both"/>
      </w:pPr>
      <w:r>
        <w:t>CE1: firstPreamble-r13 = 15, lastPreamble-r13 = 29</w:t>
      </w:r>
    </w:p>
    <w:p w14:paraId="49EB18BB" w14:textId="77777777" w:rsidR="007A2490" w:rsidRPr="00A6550C" w:rsidRDefault="007A2490" w:rsidP="007A2490">
      <w:pPr>
        <w:pStyle w:val="PL"/>
        <w:shd w:val="clear" w:color="auto" w:fill="E6E6E6"/>
        <w:jc w:val="both"/>
      </w:pPr>
      <w:r>
        <w:t>CE2: firstPreamble-r13 = 30, lastPreamble-r13 = 44</w:t>
      </w:r>
    </w:p>
    <w:p w14:paraId="5B20A363" w14:textId="77777777" w:rsidR="007A2490" w:rsidRDefault="007A2490" w:rsidP="007A2490">
      <w:pPr>
        <w:pStyle w:val="PL"/>
        <w:shd w:val="clear" w:color="auto" w:fill="E6E6E6"/>
        <w:jc w:val="both"/>
      </w:pPr>
      <w:r>
        <w:t>CE3: firstPreamble-r13 = 45, lastPreamble-r13 = 59</w:t>
      </w:r>
    </w:p>
    <w:p w14:paraId="0E28E48F" w14:textId="77777777" w:rsidR="007A2490" w:rsidRDefault="007A2490" w:rsidP="007A2490"/>
    <w:p w14:paraId="51D50263" w14:textId="77777777" w:rsidR="007A2490" w:rsidRDefault="007A2490" w:rsidP="007A2490">
      <w:r>
        <w:t>For EDT indication, e.g. 5 preambles per CE level:</w:t>
      </w:r>
    </w:p>
    <w:p w14:paraId="73C971E5" w14:textId="77777777" w:rsidR="007A2490" w:rsidRDefault="007A2490" w:rsidP="007A2490">
      <w:pPr>
        <w:pStyle w:val="PL"/>
        <w:shd w:val="clear" w:color="auto" w:fill="E6E6E6"/>
        <w:jc w:val="both"/>
      </w:pPr>
      <w:r>
        <w:t>CE0: firstPreamble-EDT-r15 = 10, lastPreamble-EDT-r15 = 14</w:t>
      </w:r>
    </w:p>
    <w:p w14:paraId="1223478B" w14:textId="77777777" w:rsidR="007A2490" w:rsidRDefault="007A2490" w:rsidP="007A2490">
      <w:pPr>
        <w:pStyle w:val="PL"/>
        <w:shd w:val="clear" w:color="auto" w:fill="E6E6E6"/>
        <w:jc w:val="both"/>
      </w:pPr>
      <w:r>
        <w:t>CE1: firstPreamble-EDT-r15 = 25, lastPreamble-EDT-r15 = 29</w:t>
      </w:r>
    </w:p>
    <w:p w14:paraId="6E7C61F4" w14:textId="77777777" w:rsidR="007A2490" w:rsidRDefault="007A2490" w:rsidP="007A2490">
      <w:pPr>
        <w:pStyle w:val="PL"/>
        <w:shd w:val="clear" w:color="auto" w:fill="E6E6E6"/>
        <w:jc w:val="both"/>
      </w:pPr>
      <w:r>
        <w:t>CE2: firstPreamble-EDT-r15 = 40, lastPreamble-EDT-r15 = 44</w:t>
      </w:r>
    </w:p>
    <w:p w14:paraId="34C6D244" w14:textId="77777777" w:rsidR="007A2490" w:rsidRDefault="007A2490" w:rsidP="007A2490">
      <w:pPr>
        <w:pStyle w:val="PL"/>
        <w:shd w:val="clear" w:color="auto" w:fill="E6E6E6"/>
        <w:jc w:val="both"/>
      </w:pPr>
      <w:r>
        <w:t>CE3: firstPreamble-EDT-r15 = 55, lastPreamble-EDT-r15 = 59</w:t>
      </w:r>
    </w:p>
    <w:p w14:paraId="424CCAC2" w14:textId="77777777" w:rsidR="007A2490" w:rsidRDefault="007A2490" w:rsidP="007A2490"/>
    <w:p w14:paraId="170B5091" w14:textId="77777777" w:rsidR="007A2490" w:rsidRDefault="007A2490" w:rsidP="007A2490">
      <w:r>
        <w:t xml:space="preserve">For legacy partitioning, i.e. dedicated preambles, a similar sample configuration may be as follows: </w:t>
      </w:r>
    </w:p>
    <w:p w14:paraId="281E8738" w14:textId="77777777" w:rsidR="007A2490" w:rsidRDefault="007A2490" w:rsidP="007A2490">
      <w:pPr>
        <w:pStyle w:val="PL"/>
        <w:shd w:val="clear" w:color="auto" w:fill="E6E6E6"/>
        <w:jc w:val="both"/>
      </w:pPr>
      <w:r>
        <w:t>CE0: firstPreamble-r13 = 0, lastPreamble-r13 = 9</w:t>
      </w:r>
    </w:p>
    <w:p w14:paraId="36364031" w14:textId="77777777" w:rsidR="007A2490" w:rsidRDefault="007A2490" w:rsidP="007A2490">
      <w:pPr>
        <w:pStyle w:val="PL"/>
        <w:shd w:val="clear" w:color="auto" w:fill="E6E6E6"/>
        <w:jc w:val="both"/>
      </w:pPr>
      <w:r>
        <w:t>CE1: firstPreamble-r13 = 15, lastPreamble-r13 = 24</w:t>
      </w:r>
    </w:p>
    <w:p w14:paraId="5A497144" w14:textId="77777777" w:rsidR="007A2490" w:rsidRPr="00A6550C" w:rsidRDefault="007A2490" w:rsidP="007A2490">
      <w:pPr>
        <w:pStyle w:val="PL"/>
        <w:shd w:val="clear" w:color="auto" w:fill="E6E6E6"/>
        <w:jc w:val="both"/>
      </w:pPr>
      <w:r>
        <w:t>CE2: firstPreamble-r13 = 30, lastPreamble-r13 = 39</w:t>
      </w:r>
    </w:p>
    <w:p w14:paraId="4E8B12E5" w14:textId="77777777" w:rsidR="007A2490" w:rsidRDefault="007A2490" w:rsidP="007A2490">
      <w:pPr>
        <w:pStyle w:val="PL"/>
        <w:shd w:val="clear" w:color="auto" w:fill="E6E6E6"/>
        <w:jc w:val="both"/>
      </w:pPr>
      <w:r>
        <w:t>CE3: firstPreamble-r13 = 45, lastPreamble-r13 = 54</w:t>
      </w:r>
    </w:p>
    <w:p w14:paraId="4860C930" w14:textId="77777777" w:rsidR="007A2490" w:rsidRDefault="007A2490" w:rsidP="007A2490"/>
    <w:p w14:paraId="441302CA" w14:textId="77777777" w:rsidR="007A2490" w:rsidRDefault="007A2490" w:rsidP="007A2490">
      <w:r>
        <w:t>For EDT indication, e.g. 5 preambles per CE level:</w:t>
      </w:r>
    </w:p>
    <w:p w14:paraId="285EDCBF" w14:textId="77777777" w:rsidR="007A2490" w:rsidRDefault="007A2490" w:rsidP="007A2490">
      <w:pPr>
        <w:pStyle w:val="PL"/>
        <w:shd w:val="clear" w:color="auto" w:fill="E6E6E6"/>
        <w:jc w:val="both"/>
      </w:pPr>
      <w:r>
        <w:t>CE0: firstPreamble-EDT-r15 = 10, lastPreamble-EDT-r15 = 14</w:t>
      </w:r>
    </w:p>
    <w:p w14:paraId="5A474B4D" w14:textId="77777777" w:rsidR="007A2490" w:rsidRDefault="007A2490" w:rsidP="007A2490">
      <w:pPr>
        <w:pStyle w:val="PL"/>
        <w:shd w:val="clear" w:color="auto" w:fill="E6E6E6"/>
        <w:jc w:val="both"/>
      </w:pPr>
      <w:r>
        <w:t>CE1: firstPreamble-EDT-r15 = 25, lastPreamble-EDT-r15 = 29</w:t>
      </w:r>
    </w:p>
    <w:p w14:paraId="7C20A07C" w14:textId="77777777" w:rsidR="007A2490" w:rsidRDefault="007A2490" w:rsidP="007A2490">
      <w:pPr>
        <w:pStyle w:val="PL"/>
        <w:shd w:val="clear" w:color="auto" w:fill="E6E6E6"/>
        <w:jc w:val="both"/>
      </w:pPr>
      <w:r>
        <w:t>CE2: firstPreamble-EDT-r15 = 40, lastPreamble-EDT-r15 = 44</w:t>
      </w:r>
    </w:p>
    <w:p w14:paraId="0AB9BB3F" w14:textId="77777777" w:rsidR="007A2490" w:rsidRDefault="007A2490" w:rsidP="007A2490">
      <w:pPr>
        <w:pStyle w:val="PL"/>
        <w:shd w:val="clear" w:color="auto" w:fill="E6E6E6"/>
        <w:jc w:val="both"/>
      </w:pPr>
      <w:r>
        <w:t>CE3: firstPreamble-EDT-r15 = 55, lastPreamble-EDT-r15 = 59</w:t>
      </w:r>
    </w:p>
    <w:p w14:paraId="4D38133F" w14:textId="0F8EE2DF" w:rsidR="00034720" w:rsidRDefault="00034720" w:rsidP="002F795E">
      <w:pPr>
        <w:pStyle w:val="PL"/>
        <w:shd w:val="clear" w:color="auto" w:fill="E6E6E6"/>
        <w:jc w:val="both"/>
      </w:pPr>
    </w:p>
    <w:p w14:paraId="18EC31CF" w14:textId="096B9A99" w:rsidR="00034720" w:rsidRDefault="00034720" w:rsidP="007A2490">
      <w:pPr>
        <w:rPr>
          <w:rFonts w:eastAsia="SimSun"/>
          <w:lang w:val="en-US"/>
        </w:rPr>
      </w:pPr>
    </w:p>
    <w:p w14:paraId="77A237CF" w14:textId="58165CDA" w:rsidR="001353CA" w:rsidRDefault="00034720" w:rsidP="007A2490">
      <w:pPr>
        <w:rPr>
          <w:rFonts w:eastAsia="SimSun"/>
          <w:lang w:val="en-US"/>
        </w:rPr>
      </w:pPr>
      <w:r>
        <w:rPr>
          <w:rFonts w:eastAsia="SimSun"/>
          <w:lang w:val="en-US"/>
        </w:rPr>
        <w:t xml:space="preserve">This configuration could be then used in other narrowbands as well, if such are configured to be used for PRACH resources in </w:t>
      </w:r>
      <w:r>
        <w:rPr>
          <w:rFonts w:eastAsia="SimSun"/>
          <w:i/>
          <w:lang w:val="en-US"/>
        </w:rPr>
        <w:t>PRACH-Config.</w:t>
      </w:r>
    </w:p>
    <w:p w14:paraId="7B473FF5" w14:textId="69F658A2" w:rsidR="007A2490" w:rsidRDefault="001353CA" w:rsidP="001353CA">
      <w:pPr>
        <w:pStyle w:val="Heading2"/>
        <w:rPr>
          <w:rFonts w:eastAsia="SimSun"/>
          <w:lang w:val="en-US"/>
        </w:rPr>
      </w:pPr>
      <w:r>
        <w:rPr>
          <w:rFonts w:eastAsia="SimSun"/>
          <w:lang w:val="en-US"/>
        </w:rPr>
        <w:t>Example configuration for NB-IoT</w:t>
      </w:r>
    </w:p>
    <w:p w14:paraId="776DA5AB" w14:textId="77777777" w:rsidR="007A2490" w:rsidRPr="00A6550C" w:rsidRDefault="007A2490" w:rsidP="007A2490">
      <w:pPr>
        <w:rPr>
          <w:rFonts w:eastAsia="SimSun"/>
          <w:lang w:val="en-US"/>
        </w:rPr>
      </w:pPr>
      <w:r>
        <w:rPr>
          <w:rFonts w:eastAsia="SimSun"/>
          <w:lang w:val="en-US"/>
        </w:rPr>
        <w:t xml:space="preserve">For NB-IoT, similar approach can be taken, for example, by adding parameters in </w:t>
      </w:r>
      <w:r>
        <w:rPr>
          <w:rFonts w:eastAsia="SimSun"/>
          <w:i/>
          <w:lang w:val="en-US"/>
        </w:rPr>
        <w:t>NPRACH-Parameters-NB</w:t>
      </w:r>
      <w:r>
        <w:rPr>
          <w:rFonts w:eastAsia="SimSun"/>
          <w:lang w:val="en-US"/>
        </w:rPr>
        <w:t>:</w:t>
      </w:r>
    </w:p>
    <w:p w14:paraId="045C0AD6" w14:textId="77777777" w:rsidR="007A2490" w:rsidRPr="008A4F39" w:rsidRDefault="007A2490" w:rsidP="007A2490">
      <w:pPr>
        <w:pStyle w:val="PL"/>
        <w:shd w:val="clear" w:color="auto" w:fill="E6E6E6"/>
        <w:jc w:val="both"/>
        <w:rPr>
          <w:rFonts w:eastAsia="SimSun" w:cs="Courier New"/>
          <w:szCs w:val="16"/>
          <w:highlight w:val="yellow"/>
        </w:rPr>
      </w:pPr>
      <w:r w:rsidRPr="008A4F39">
        <w:rPr>
          <w:rFonts w:eastAsia="SimSun" w:cs="Courier New"/>
          <w:szCs w:val="16"/>
          <w:highlight w:val="yellow"/>
        </w:rPr>
        <w:t>NPRACH-ConfigSIB-NB-</w:t>
      </w:r>
      <w:r>
        <w:rPr>
          <w:rFonts w:eastAsia="SimSun" w:cs="Courier New"/>
          <w:szCs w:val="16"/>
          <w:highlight w:val="yellow"/>
        </w:rPr>
        <w:t>v</w:t>
      </w:r>
      <w:r w:rsidRPr="008A4F39">
        <w:rPr>
          <w:rFonts w:eastAsia="SimSun" w:cs="Courier New"/>
          <w:szCs w:val="16"/>
          <w:highlight w:val="yellow"/>
        </w:rPr>
        <w:t>15</w:t>
      </w:r>
      <w:r>
        <w:rPr>
          <w:rFonts w:eastAsia="SimSun" w:cs="Courier New"/>
          <w:szCs w:val="16"/>
          <w:highlight w:val="yellow"/>
        </w:rPr>
        <w:t>xy</w:t>
      </w:r>
      <w:r w:rsidRPr="008A4F39">
        <w:rPr>
          <w:rFonts w:eastAsia="SimSun" w:cs="Courier New"/>
          <w:szCs w:val="16"/>
          <w:highlight w:val="yellow"/>
        </w:rPr>
        <w:t xml:space="preserve"> ::=</w:t>
      </w:r>
      <w:r w:rsidRPr="008A4F39">
        <w:rPr>
          <w:rFonts w:eastAsia="SimSun" w:cs="Courier New"/>
          <w:szCs w:val="16"/>
          <w:highlight w:val="yellow"/>
        </w:rPr>
        <w:tab/>
      </w:r>
      <w:r w:rsidRPr="008A4F39">
        <w:rPr>
          <w:rFonts w:eastAsia="SimSun" w:cs="Courier New"/>
          <w:szCs w:val="16"/>
          <w:highlight w:val="yellow"/>
        </w:rPr>
        <w:tab/>
        <w:t>SEQUENCE {</w:t>
      </w:r>
    </w:p>
    <w:p w14:paraId="5A187587" w14:textId="77777777" w:rsidR="007A2490" w:rsidRPr="008A4F39" w:rsidRDefault="007A2490" w:rsidP="007A2490">
      <w:pPr>
        <w:pStyle w:val="PL"/>
        <w:shd w:val="clear" w:color="auto" w:fill="E6E6E6"/>
        <w:jc w:val="both"/>
        <w:rPr>
          <w:rFonts w:eastAsia="SimSun"/>
          <w:highlight w:val="yellow"/>
        </w:rPr>
      </w:pPr>
      <w:r w:rsidRPr="008A4F39">
        <w:rPr>
          <w:rFonts w:eastAsia="SimSun" w:cs="Courier New"/>
          <w:szCs w:val="16"/>
          <w:highlight w:val="yellow"/>
        </w:rPr>
        <w:tab/>
      </w:r>
      <w:r w:rsidRPr="008A4F39">
        <w:rPr>
          <w:rFonts w:eastAsia="SimSun"/>
          <w:highlight w:val="yellow"/>
        </w:rPr>
        <w:t>nprach-ParametersList-</w:t>
      </w:r>
      <w:r>
        <w:rPr>
          <w:rFonts w:eastAsia="SimSun"/>
          <w:highlight w:val="yellow"/>
        </w:rPr>
        <w:t>v</w:t>
      </w:r>
      <w:r w:rsidRPr="008A4F39">
        <w:rPr>
          <w:rFonts w:eastAsia="SimSun"/>
          <w:highlight w:val="yellow"/>
        </w:rPr>
        <w:t>15</w:t>
      </w:r>
      <w:r>
        <w:rPr>
          <w:rFonts w:eastAsia="SimSun"/>
          <w:highlight w:val="yellow"/>
        </w:rPr>
        <w:t>xy</w:t>
      </w:r>
      <w:r w:rsidRPr="008A4F39">
        <w:rPr>
          <w:rFonts w:eastAsia="SimSun"/>
          <w:highlight w:val="yellow"/>
        </w:rPr>
        <w:tab/>
      </w:r>
      <w:r w:rsidRPr="008A4F39">
        <w:rPr>
          <w:rFonts w:eastAsia="SimSun"/>
          <w:highlight w:val="yellow"/>
        </w:rPr>
        <w:tab/>
      </w:r>
      <w:r w:rsidRPr="008A4F39">
        <w:rPr>
          <w:rFonts w:eastAsia="SimSun"/>
          <w:highlight w:val="yellow"/>
        </w:rPr>
        <w:tab/>
        <w:t>NPRACH-ParametersList-NB-</w:t>
      </w:r>
      <w:r>
        <w:rPr>
          <w:rFonts w:eastAsia="SimSun"/>
          <w:highlight w:val="yellow"/>
        </w:rPr>
        <w:t>v</w:t>
      </w:r>
      <w:r w:rsidRPr="008A4F39">
        <w:rPr>
          <w:rFonts w:eastAsia="SimSun"/>
          <w:highlight w:val="yellow"/>
        </w:rPr>
        <w:t>15</w:t>
      </w:r>
      <w:r>
        <w:rPr>
          <w:rFonts w:eastAsia="SimSun"/>
          <w:highlight w:val="yellow"/>
        </w:rPr>
        <w:t>xy</w:t>
      </w:r>
    </w:p>
    <w:p w14:paraId="7761A850" w14:textId="77777777" w:rsidR="007A2490" w:rsidRPr="00C04136" w:rsidRDefault="007A2490" w:rsidP="007A2490">
      <w:pPr>
        <w:pStyle w:val="PL"/>
        <w:shd w:val="clear" w:color="auto" w:fill="E6E6E6"/>
        <w:jc w:val="both"/>
        <w:rPr>
          <w:rFonts w:eastAsia="SimSun"/>
        </w:rPr>
      </w:pPr>
      <w:r w:rsidRPr="008A4F39">
        <w:rPr>
          <w:rFonts w:eastAsia="SimSun"/>
          <w:highlight w:val="yellow"/>
        </w:rPr>
        <w:t>}</w:t>
      </w:r>
    </w:p>
    <w:p w14:paraId="7882F0F5" w14:textId="77777777" w:rsidR="007A2490" w:rsidRDefault="007A2490" w:rsidP="007A2490"/>
    <w:p w14:paraId="5262D66C" w14:textId="77777777" w:rsidR="007A2490" w:rsidRDefault="007A2490" w:rsidP="007A2490">
      <w:pPr>
        <w:pStyle w:val="PL"/>
        <w:shd w:val="clear" w:color="auto" w:fill="E6E6E6"/>
        <w:jc w:val="both"/>
        <w:rPr>
          <w:rFonts w:eastAsia="SimSun"/>
        </w:rPr>
      </w:pPr>
      <w:r w:rsidRPr="008A4F39">
        <w:rPr>
          <w:rFonts w:eastAsia="SimSun"/>
          <w:highlight w:val="yellow"/>
        </w:rPr>
        <w:t>NPRACH-ParametersList-NB-</w:t>
      </w:r>
      <w:r>
        <w:rPr>
          <w:rFonts w:eastAsia="SimSun"/>
          <w:highlight w:val="yellow"/>
        </w:rPr>
        <w:t>v</w:t>
      </w:r>
      <w:r w:rsidRPr="008A4F39">
        <w:rPr>
          <w:rFonts w:eastAsia="SimSun"/>
          <w:highlight w:val="yellow"/>
        </w:rPr>
        <w:t>15</w:t>
      </w:r>
      <w:r>
        <w:rPr>
          <w:rFonts w:eastAsia="SimSun"/>
          <w:highlight w:val="yellow"/>
        </w:rPr>
        <w:t>xy</w:t>
      </w:r>
      <w:r w:rsidRPr="008A4F39">
        <w:rPr>
          <w:rFonts w:eastAsia="SimSun"/>
          <w:highlight w:val="yellow"/>
        </w:rPr>
        <w:t xml:space="preserve"> ::=</w:t>
      </w:r>
      <w:r w:rsidRPr="008A4F39">
        <w:rPr>
          <w:rFonts w:eastAsia="SimSun"/>
          <w:highlight w:val="yellow"/>
        </w:rPr>
        <w:tab/>
        <w:t>SEQUENCE (SIZE (1.. maxNPRACH-Resources-NB-r13)) OF NPRACH-Parameters-NB-</w:t>
      </w:r>
      <w:r>
        <w:rPr>
          <w:rFonts w:eastAsia="SimSun"/>
          <w:highlight w:val="yellow"/>
        </w:rPr>
        <w:t>v</w:t>
      </w:r>
      <w:r w:rsidRPr="008A4F39">
        <w:rPr>
          <w:rFonts w:eastAsia="SimSun"/>
          <w:highlight w:val="yellow"/>
        </w:rPr>
        <w:t>1</w:t>
      </w:r>
      <w:r w:rsidRPr="00F80C6A">
        <w:rPr>
          <w:rFonts w:eastAsia="SimSun"/>
          <w:highlight w:val="yellow"/>
        </w:rPr>
        <w:t>5xy</w:t>
      </w:r>
    </w:p>
    <w:p w14:paraId="34C8CAF8" w14:textId="77777777" w:rsidR="007A2490" w:rsidRDefault="007A2490" w:rsidP="007A2490">
      <w:pPr>
        <w:pStyle w:val="PL"/>
        <w:shd w:val="clear" w:color="auto" w:fill="E6E6E6"/>
        <w:ind w:left="351" w:hanging="357"/>
        <w:jc w:val="both"/>
      </w:pPr>
    </w:p>
    <w:p w14:paraId="161F6EDA" w14:textId="77777777" w:rsidR="007A2490" w:rsidRPr="008A4F39" w:rsidRDefault="007A2490" w:rsidP="007A2490">
      <w:pPr>
        <w:pStyle w:val="PL"/>
        <w:shd w:val="clear" w:color="auto" w:fill="E6E6E6"/>
        <w:ind w:left="351" w:hanging="357"/>
        <w:jc w:val="both"/>
      </w:pPr>
    </w:p>
    <w:p w14:paraId="4EEC641B" w14:textId="77777777" w:rsidR="007A2490" w:rsidRPr="008A4F39" w:rsidRDefault="007A2490" w:rsidP="007A2490">
      <w:pPr>
        <w:pStyle w:val="PL"/>
        <w:shd w:val="clear" w:color="auto" w:fill="E6E6E6"/>
        <w:jc w:val="both"/>
        <w:rPr>
          <w:rFonts w:eastAsia="SimSun"/>
          <w:highlight w:val="yellow"/>
        </w:rPr>
      </w:pPr>
      <w:r w:rsidRPr="008A4F39">
        <w:rPr>
          <w:rFonts w:eastAsia="SimSun"/>
          <w:highlight w:val="yellow"/>
        </w:rPr>
        <w:t>NPRACH-Parameters-NB-</w:t>
      </w:r>
      <w:r>
        <w:rPr>
          <w:rFonts w:eastAsia="SimSun"/>
          <w:highlight w:val="yellow"/>
        </w:rPr>
        <w:t>v</w:t>
      </w:r>
      <w:r w:rsidRPr="008A4F39">
        <w:rPr>
          <w:rFonts w:eastAsia="SimSun"/>
          <w:highlight w:val="yellow"/>
        </w:rPr>
        <w:t>15</w:t>
      </w:r>
      <w:r>
        <w:rPr>
          <w:rFonts w:eastAsia="SimSun"/>
          <w:highlight w:val="yellow"/>
        </w:rPr>
        <w:t>xy</w:t>
      </w:r>
      <w:r w:rsidRPr="008A4F39">
        <w:rPr>
          <w:rFonts w:eastAsia="SimSun"/>
          <w:highlight w:val="yellow"/>
        </w:rPr>
        <w:t xml:space="preserve"> ::=</w:t>
      </w:r>
      <w:r w:rsidRPr="008A4F39">
        <w:rPr>
          <w:rFonts w:eastAsia="SimSun"/>
          <w:highlight w:val="yellow"/>
        </w:rPr>
        <w:tab/>
      </w:r>
      <w:r w:rsidRPr="008A4F39">
        <w:rPr>
          <w:rFonts w:eastAsia="SimSun"/>
          <w:highlight w:val="yellow"/>
        </w:rPr>
        <w:tab/>
        <w:t>SEQUENCE {</w:t>
      </w:r>
    </w:p>
    <w:p w14:paraId="5DC94183" w14:textId="77777777" w:rsidR="007A2490" w:rsidRDefault="007A2490" w:rsidP="007A2490">
      <w:pPr>
        <w:pStyle w:val="PL"/>
        <w:shd w:val="clear" w:color="auto" w:fill="E6E6E6"/>
        <w:jc w:val="both"/>
        <w:rPr>
          <w:highlight w:val="yellow"/>
        </w:rPr>
      </w:pPr>
      <w:r w:rsidRPr="008A4F39">
        <w:rPr>
          <w:rFonts w:eastAsia="SimSun"/>
          <w:highlight w:val="yellow"/>
        </w:rPr>
        <w:tab/>
      </w:r>
      <w:r>
        <w:rPr>
          <w:rFonts w:eastAsia="SimSun"/>
          <w:highlight w:val="yellow"/>
        </w:rPr>
        <w:t>nprach-N</w:t>
      </w:r>
      <w:r w:rsidRPr="008A4F39">
        <w:rPr>
          <w:rFonts w:eastAsia="SimSun"/>
          <w:highlight w:val="yellow"/>
        </w:rPr>
        <w:t>umEDT-</w:t>
      </w:r>
      <w:r>
        <w:rPr>
          <w:rFonts w:eastAsia="SimSun"/>
          <w:highlight w:val="yellow"/>
        </w:rPr>
        <w:t>Subcarriers-r15</w:t>
      </w:r>
      <w:r w:rsidRPr="008A4F39">
        <w:rPr>
          <w:rFonts w:eastAsia="SimSun"/>
          <w:highlight w:val="yellow"/>
        </w:rPr>
        <w:tab/>
      </w:r>
      <w:r w:rsidRPr="008A4F39">
        <w:rPr>
          <w:rFonts w:eastAsia="SimSun"/>
          <w:highlight w:val="yellow"/>
        </w:rPr>
        <w:tab/>
      </w:r>
      <w:r w:rsidRPr="008A4F39">
        <w:rPr>
          <w:rFonts w:eastAsia="SimSun"/>
          <w:highlight w:val="yellow"/>
        </w:rPr>
        <w:tab/>
      </w:r>
      <w:r w:rsidRPr="008A4F39">
        <w:rPr>
          <w:rFonts w:eastAsia="SimSun"/>
          <w:highlight w:val="yellow"/>
        </w:rPr>
        <w:tab/>
        <w:t>ENUMERATED {</w:t>
      </w:r>
      <w:r w:rsidRPr="008A4F39">
        <w:rPr>
          <w:highlight w:val="yellow"/>
        </w:rPr>
        <w:t>n</w:t>
      </w:r>
      <w:r>
        <w:rPr>
          <w:highlight w:val="yellow"/>
        </w:rPr>
        <w:t>0</w:t>
      </w:r>
      <w:r w:rsidRPr="008A4F39">
        <w:rPr>
          <w:highlight w:val="yellow"/>
        </w:rPr>
        <w:t>, n4, n</w:t>
      </w:r>
      <w:r>
        <w:rPr>
          <w:highlight w:val="yellow"/>
        </w:rPr>
        <w:t>8</w:t>
      </w:r>
      <w:r w:rsidRPr="008A4F39">
        <w:rPr>
          <w:highlight w:val="yellow"/>
        </w:rPr>
        <w:t>, n</w:t>
      </w:r>
      <w:r>
        <w:rPr>
          <w:highlight w:val="yellow"/>
        </w:rPr>
        <w:t>12</w:t>
      </w:r>
      <w:r w:rsidRPr="008A4F39">
        <w:rPr>
          <w:highlight w:val="yellow"/>
        </w:rPr>
        <w:t>, n</w:t>
      </w:r>
      <w:r>
        <w:rPr>
          <w:highlight w:val="yellow"/>
        </w:rPr>
        <w:t>16</w:t>
      </w:r>
      <w:r w:rsidRPr="008A4F39">
        <w:rPr>
          <w:highlight w:val="yellow"/>
        </w:rPr>
        <w:t>, n</w:t>
      </w:r>
      <w:r>
        <w:rPr>
          <w:highlight w:val="yellow"/>
        </w:rPr>
        <w:t>20</w:t>
      </w:r>
      <w:r w:rsidRPr="008A4F39">
        <w:rPr>
          <w:highlight w:val="yellow"/>
        </w:rPr>
        <w:t>, n</w:t>
      </w:r>
      <w:r>
        <w:rPr>
          <w:highlight w:val="yellow"/>
        </w:rPr>
        <w:t>24, spare</w:t>
      </w:r>
      <w:r w:rsidRPr="008A4F39">
        <w:rPr>
          <w:highlight w:val="yellow"/>
        </w:rPr>
        <w:t>}</w:t>
      </w:r>
    </w:p>
    <w:p w14:paraId="0CE33967" w14:textId="77777777" w:rsidR="007A2490" w:rsidRPr="008A4F39" w:rsidRDefault="007A2490" w:rsidP="007A2490">
      <w:pPr>
        <w:pStyle w:val="PL"/>
        <w:shd w:val="clear" w:color="auto" w:fill="E6E6E6"/>
        <w:jc w:val="both"/>
        <w:rPr>
          <w:highlight w:val="yellow"/>
        </w:rPr>
      </w:pPr>
      <w:r>
        <w:rPr>
          <w:highlight w:val="yellow"/>
        </w:rPr>
        <w:tab/>
        <w:t>nprach-NumDedicatedEDT-Subcarriers-r15</w:t>
      </w:r>
      <w:r>
        <w:rPr>
          <w:highlight w:val="yellow"/>
        </w:rPr>
        <w:tab/>
      </w:r>
      <w:r>
        <w:rPr>
          <w:highlight w:val="yellow"/>
        </w:rPr>
        <w:tab/>
        <w:t xml:space="preserve">ENUMERATED {n0, n12, n24, n36}, </w:t>
      </w:r>
    </w:p>
    <w:p w14:paraId="041DCCBC" w14:textId="77777777" w:rsidR="007A2490" w:rsidRPr="008A4F39" w:rsidRDefault="007A2490" w:rsidP="007A2490">
      <w:pPr>
        <w:pStyle w:val="PL"/>
        <w:shd w:val="clear" w:color="auto" w:fill="E6E6E6"/>
        <w:jc w:val="both"/>
        <w:rPr>
          <w:highlight w:val="yellow"/>
        </w:rPr>
      </w:pPr>
      <w:r w:rsidRPr="008A4F39">
        <w:rPr>
          <w:highlight w:val="yellow"/>
        </w:rPr>
        <w:tab/>
        <w:t>}</w:t>
      </w:r>
    </w:p>
    <w:p w14:paraId="0643F123" w14:textId="77777777" w:rsidR="007A2490" w:rsidRDefault="007A2490" w:rsidP="007A2490">
      <w:pPr>
        <w:pStyle w:val="PL"/>
        <w:shd w:val="clear" w:color="auto" w:fill="E6E6E6"/>
        <w:jc w:val="both"/>
      </w:pPr>
      <w:r w:rsidRPr="008A4F39">
        <w:rPr>
          <w:highlight w:val="yellow"/>
        </w:rPr>
        <w:t>}</w:t>
      </w:r>
    </w:p>
    <w:p w14:paraId="77867EF6" w14:textId="77777777" w:rsidR="007A2490" w:rsidRDefault="007A2490" w:rsidP="007A2490">
      <w:pPr>
        <w:rPr>
          <w:rFonts w:eastAsia="SimSun"/>
          <w:lang w:val="en-US"/>
        </w:rPr>
      </w:pPr>
    </w:p>
    <w:p w14:paraId="7DC1ACDB" w14:textId="77777777" w:rsidR="007A2490" w:rsidRDefault="007A2490" w:rsidP="007A2490">
      <w:pPr>
        <w:rPr>
          <w:rFonts w:eastAsia="SimSun"/>
          <w:lang w:val="en-US"/>
        </w:rPr>
      </w:pPr>
      <w:r>
        <w:rPr>
          <w:rFonts w:eastAsia="SimSun"/>
          <w:lang w:val="en-US"/>
        </w:rPr>
        <w:t xml:space="preserve">Parameter ranges are just for example. </w:t>
      </w:r>
    </w:p>
    <w:p w14:paraId="0A1159C1" w14:textId="77777777" w:rsidR="007A2490" w:rsidRDefault="007A2490" w:rsidP="007A2490">
      <w:r>
        <w:rPr>
          <w:rFonts w:eastAsia="SimSun"/>
          <w:lang w:val="en-US"/>
        </w:rPr>
        <w:t xml:space="preserve">Field </w:t>
      </w:r>
      <w:r w:rsidRPr="00F80C6A">
        <w:rPr>
          <w:rFonts w:eastAsia="SimSun"/>
          <w:i/>
        </w:rPr>
        <w:t>nprach-NumEDT-Subcarriers</w:t>
      </w:r>
      <w:r>
        <w:rPr>
          <w:rFonts w:eastAsia="SimSun"/>
          <w:i/>
        </w:rPr>
        <w:t xml:space="preserve"> </w:t>
      </w:r>
      <w:r>
        <w:rPr>
          <w:rFonts w:eastAsia="SimSun"/>
        </w:rPr>
        <w:t xml:space="preserve">would indicate how many shared EDT subcarriers there would be per NPRACH resource, where the first </w:t>
      </w:r>
      <w:r>
        <w:rPr>
          <w:rFonts w:eastAsia="SimSun"/>
          <w:i/>
        </w:rPr>
        <w:t>n</w:t>
      </w:r>
      <w:r>
        <w:rPr>
          <w:rFonts w:eastAsia="SimSun"/>
        </w:rPr>
        <w:t xml:space="preserve"> subcarriers in a resource would be counted. Field </w:t>
      </w:r>
      <w:r w:rsidRPr="00F80C6A">
        <w:rPr>
          <w:i/>
        </w:rPr>
        <w:t>nprach-</w:t>
      </w:r>
      <w:r w:rsidRPr="00F80C6A">
        <w:rPr>
          <w:i/>
        </w:rPr>
        <w:lastRenderedPageBreak/>
        <w:t>NumDedicatedEDT-Subcarriers</w:t>
      </w:r>
      <w:r>
        <w:rPr>
          <w:i/>
        </w:rPr>
        <w:t xml:space="preserve"> </w:t>
      </w:r>
      <w:r>
        <w:t xml:space="preserve">would indicate how many dedicated EDT subcarriers there would be per resource, where the dedicated subcarriers would be those after the configured legacy carriers (in </w:t>
      </w:r>
      <w:r w:rsidRPr="00C83E6F">
        <w:rPr>
          <w:rFonts w:eastAsia="SimSun" w:cs="Courier New"/>
          <w:i/>
          <w:szCs w:val="16"/>
        </w:rPr>
        <w:t>nprach-NumSubcarriers</w:t>
      </w:r>
      <w:r>
        <w:rPr>
          <w:rFonts w:eastAsia="SimSun" w:cs="Courier New"/>
          <w:szCs w:val="16"/>
        </w:rPr>
        <w:t>)</w:t>
      </w:r>
      <w:r>
        <w:t xml:space="preserve">. </w:t>
      </w:r>
    </w:p>
    <w:p w14:paraId="56ACEEE5" w14:textId="4F2FDCC0" w:rsidR="007A2490" w:rsidRDefault="007A2490" w:rsidP="007A2490">
      <w:r>
        <w:t xml:space="preserve">An </w:t>
      </w:r>
      <w:r w:rsidR="004D6759">
        <w:t>ex</w:t>
      </w:r>
      <w:r>
        <w:t xml:space="preserve">ample consisting of both shared and dedicated preambles: </w:t>
      </w:r>
    </w:p>
    <w:p w14:paraId="4355A05B" w14:textId="77777777" w:rsidR="007A2490" w:rsidRDefault="007A2490" w:rsidP="007A2490">
      <w:pPr>
        <w:pStyle w:val="PL"/>
        <w:shd w:val="clear" w:color="auto" w:fill="E6E6E6"/>
        <w:ind w:left="351" w:hanging="357"/>
        <w:jc w:val="both"/>
        <w:rPr>
          <w:rFonts w:eastAsia="SimSun" w:cs="Courier New"/>
          <w:szCs w:val="16"/>
        </w:rPr>
      </w:pPr>
      <w:r w:rsidRPr="00C04136">
        <w:rPr>
          <w:rFonts w:eastAsia="SimSun" w:cs="Courier New"/>
          <w:szCs w:val="16"/>
        </w:rPr>
        <w:t>nprach-NumSubcarriers</w:t>
      </w:r>
      <w:r>
        <w:rPr>
          <w:rFonts w:eastAsia="SimSun" w:cs="Courier New"/>
          <w:szCs w:val="16"/>
        </w:rPr>
        <w:t>-r13 = 24</w:t>
      </w:r>
    </w:p>
    <w:p w14:paraId="46F5A2BE" w14:textId="77777777" w:rsidR="007A2490" w:rsidRPr="00827AA4" w:rsidRDefault="007A2490" w:rsidP="007A2490">
      <w:pPr>
        <w:pStyle w:val="PL"/>
        <w:shd w:val="clear" w:color="auto" w:fill="E6E6E6"/>
        <w:ind w:left="351" w:hanging="357"/>
        <w:jc w:val="both"/>
        <w:rPr>
          <w:rFonts w:eastAsia="SimSun"/>
        </w:rPr>
      </w:pPr>
      <w:r w:rsidRPr="00827AA4">
        <w:rPr>
          <w:rFonts w:eastAsia="SimSun"/>
        </w:rPr>
        <w:t>nprach-NumEDT-Subcarriers-r15</w:t>
      </w:r>
      <w:r>
        <w:rPr>
          <w:rFonts w:eastAsia="SimSun"/>
        </w:rPr>
        <w:t xml:space="preserve"> = 12</w:t>
      </w:r>
    </w:p>
    <w:p w14:paraId="58712B23" w14:textId="77777777" w:rsidR="007A2490" w:rsidRDefault="007A2490" w:rsidP="007A2490">
      <w:pPr>
        <w:pStyle w:val="PL"/>
        <w:shd w:val="clear" w:color="auto" w:fill="E6E6E6"/>
        <w:ind w:left="351" w:hanging="357"/>
        <w:jc w:val="both"/>
        <w:rPr>
          <w:rFonts w:eastAsia="SimSun" w:cs="Courier New"/>
          <w:szCs w:val="16"/>
        </w:rPr>
      </w:pPr>
      <w:r w:rsidRPr="00827AA4">
        <w:t>nprach-NumDedicatedEDT-Subcarriers-r15</w:t>
      </w:r>
      <w:r>
        <w:t xml:space="preserve"> = 12</w:t>
      </w:r>
    </w:p>
    <w:p w14:paraId="0890CEEF" w14:textId="77777777" w:rsidR="007A2490" w:rsidRDefault="007A2490" w:rsidP="007A2490"/>
    <w:p w14:paraId="365F6BE9" w14:textId="77777777" w:rsidR="007A2490" w:rsidRDefault="007A2490" w:rsidP="007A2490">
      <w:r>
        <w:t>In this case subcarriers 0-23 could be used by legacy UEs, where subcarriers 0-11 could be additionally used for (shared) EDT indication. Subcarriers 24-35 could be used as dedicated EDT indication with this configuration.</w:t>
      </w:r>
    </w:p>
    <w:p w14:paraId="0DD4BEEE" w14:textId="77777777" w:rsidR="002F795E" w:rsidRDefault="007A2490" w:rsidP="002F795E">
      <w:r>
        <w:t>It would be possible to only configure shared or dedicated preambles as well by setting either of the new parameters to 0.</w:t>
      </w:r>
    </w:p>
    <w:p w14:paraId="2FF55A52" w14:textId="69BCDF70" w:rsidR="00C01F33" w:rsidRPr="00CE0424" w:rsidRDefault="00C01F33" w:rsidP="00CE0424">
      <w:pPr>
        <w:pStyle w:val="Heading1"/>
      </w:pPr>
      <w:r w:rsidRPr="00CE0424">
        <w:t>Conclusion</w:t>
      </w:r>
    </w:p>
    <w:p w14:paraId="70516859" w14:textId="77777777" w:rsidR="00836E66"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34678">
        <w:t>2</w:t>
      </w:r>
      <w:r w:rsidRPr="00CE0424">
        <w:rPr>
          <w:highlight w:val="cyan"/>
        </w:rPr>
        <w:fldChar w:fldCharType="end"/>
      </w:r>
      <w:r w:rsidRPr="00CE0424">
        <w:t xml:space="preserve"> we </w:t>
      </w:r>
      <w:r>
        <w:t>made the following observations</w:t>
      </w:r>
      <w:r w:rsidRPr="00CE0424">
        <w:t>:</w:t>
      </w:r>
      <w:r w:rsidRPr="00634B53">
        <w:rPr>
          <w:rFonts w:cs="Arial"/>
          <w:b/>
          <w:bCs/>
        </w:rPr>
        <w:fldChar w:fldCharType="begin"/>
      </w:r>
      <w:r w:rsidRPr="002F795E">
        <w:rPr>
          <w:rFonts w:cs="Arial"/>
          <w:b/>
          <w:bCs/>
        </w:rPr>
        <w:instrText xml:space="preserve"> TOC \f \n \t "Observation;1" </w:instrText>
      </w:r>
      <w:r w:rsidRPr="00634B53">
        <w:rPr>
          <w:rFonts w:cs="Arial"/>
          <w:b/>
          <w:bCs/>
        </w:rPr>
        <w:fldChar w:fldCharType="separate"/>
      </w:r>
    </w:p>
    <w:p w14:paraId="7E1D0B0D" w14:textId="77777777" w:rsidR="00836E66" w:rsidRDefault="00836E66">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It should be made clear if “dedicated (N)PRACH resources” mean dedicated frequency, time or code resources or a combination of these.</w:t>
      </w:r>
    </w:p>
    <w:p w14:paraId="3B3DE124" w14:textId="77777777" w:rsidR="00836E66" w:rsidRDefault="00836E66">
      <w:pPr>
        <w:pStyle w:val="TOC1"/>
        <w:rPr>
          <w:rFonts w:asciiTheme="minorHAnsi" w:eastAsiaTheme="minorEastAsia" w:hAnsiTheme="minorHAnsi" w:cstheme="minorBidi"/>
          <w:b w:val="0"/>
          <w:sz w:val="22"/>
          <w:lang w:eastAsia="en-US"/>
        </w:rPr>
      </w:pPr>
      <w:r w:rsidRPr="008624CC">
        <w:rPr>
          <w:rFonts w:eastAsiaTheme="minorEastAsia" w:cs="Arial"/>
          <w:lang w:eastAsia="en-US"/>
        </w:rPr>
        <w:t>Observation 2</w:t>
      </w:r>
      <w:r>
        <w:rPr>
          <w:rFonts w:asciiTheme="minorHAnsi" w:eastAsiaTheme="minorEastAsia" w:hAnsiTheme="minorHAnsi" w:cstheme="minorBidi"/>
          <w:b w:val="0"/>
          <w:sz w:val="22"/>
          <w:lang w:eastAsia="en-US"/>
        </w:rPr>
        <w:tab/>
      </w:r>
      <w:r w:rsidRPr="008624CC">
        <w:rPr>
          <w:rFonts w:cs="Arial"/>
        </w:rPr>
        <w:t>Further partitioning of the existing (N)PRACH resources will result in random access performance degradation, e.g. larger collision probability.</w:t>
      </w:r>
    </w:p>
    <w:p w14:paraId="4FF2FFD0" w14:textId="77777777" w:rsidR="00836E66" w:rsidRDefault="00836E66">
      <w:pPr>
        <w:pStyle w:val="TOC1"/>
        <w:rPr>
          <w:rFonts w:asciiTheme="minorHAnsi" w:eastAsiaTheme="minorEastAsia" w:hAnsiTheme="minorHAnsi" w:cstheme="minorBidi"/>
          <w:b w:val="0"/>
          <w:sz w:val="22"/>
          <w:lang w:eastAsia="en-US"/>
        </w:rPr>
      </w:pPr>
      <w:r w:rsidRPr="008624CC">
        <w:rPr>
          <w:rFonts w:eastAsiaTheme="minorEastAsia" w:cs="Arial"/>
          <w:lang w:eastAsia="en-US"/>
        </w:rPr>
        <w:t>Observation 3</w:t>
      </w:r>
      <w:r>
        <w:rPr>
          <w:rFonts w:asciiTheme="minorHAnsi" w:eastAsiaTheme="minorEastAsia" w:hAnsiTheme="minorHAnsi" w:cstheme="minorBidi"/>
          <w:b w:val="0"/>
          <w:sz w:val="22"/>
          <w:lang w:eastAsia="en-US"/>
        </w:rPr>
        <w:tab/>
      </w:r>
      <w:r w:rsidRPr="008624CC">
        <w:rPr>
          <w:rFonts w:cs="Arial"/>
        </w:rPr>
        <w:t>Using additional uplink resources for (N)PRACH will reduce the amount of uplink resources available for other purposes.</w:t>
      </w:r>
    </w:p>
    <w:p w14:paraId="384CB152" w14:textId="77777777" w:rsidR="00836E66" w:rsidRDefault="00836E66">
      <w:pPr>
        <w:pStyle w:val="TOC1"/>
        <w:rPr>
          <w:rFonts w:asciiTheme="minorHAnsi" w:eastAsiaTheme="minorEastAsia" w:hAnsiTheme="minorHAnsi" w:cstheme="minorBidi"/>
          <w:b w:val="0"/>
          <w:sz w:val="22"/>
          <w:lang w:eastAsia="en-US"/>
        </w:rPr>
      </w:pPr>
      <w:r w:rsidRPr="008624CC">
        <w:rPr>
          <w:rFonts w:cs="Arial"/>
        </w:rPr>
        <w:t>Observation 4</w:t>
      </w:r>
      <w:r>
        <w:rPr>
          <w:rFonts w:asciiTheme="minorHAnsi" w:eastAsiaTheme="minorEastAsia" w:hAnsiTheme="minorHAnsi" w:cstheme="minorBidi"/>
          <w:b w:val="0"/>
          <w:sz w:val="22"/>
          <w:lang w:eastAsia="en-US"/>
        </w:rPr>
        <w:tab/>
      </w:r>
      <w:r w:rsidRPr="008624CC">
        <w:rPr>
          <w:rFonts w:eastAsiaTheme="minorEastAsia" w:cs="Arial"/>
          <w:lang w:eastAsia="en-US"/>
        </w:rPr>
        <w:t>Re-using existing preambles and (N)PRACH resources would not require use of additional system resources, and would not result in performance degradation for the legacy UEs.</w:t>
      </w:r>
    </w:p>
    <w:p w14:paraId="713B59B3" w14:textId="77777777" w:rsidR="00836E66" w:rsidRDefault="00836E66">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Too large UL grants for small data in Msg3 would negate any gains achieved by using EDT.</w:t>
      </w:r>
    </w:p>
    <w:p w14:paraId="1677512F" w14:textId="77777777" w:rsidR="008E065E" w:rsidRDefault="008E065E" w:rsidP="008E065E">
      <w:pPr>
        <w:pStyle w:val="BodyText"/>
        <w:rPr>
          <w:b/>
          <w:bCs/>
        </w:rPr>
      </w:pPr>
      <w:r w:rsidRPr="00634B53">
        <w:rPr>
          <w:rFonts w:cs="Arial"/>
          <w:b/>
          <w:bCs/>
        </w:rPr>
        <w:fldChar w:fldCharType="end"/>
      </w:r>
    </w:p>
    <w:p w14:paraId="629C0955" w14:textId="77777777" w:rsidR="00836E66"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34678">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71EEB15" w14:textId="77777777" w:rsidR="00836E66" w:rsidRDefault="00836E6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(N)PRACH physical resources and preamble allocation for EDT indication are configured with similar flexibility as in legacy NB-IoT and LTE-MTC.</w:t>
      </w:r>
      <w:bookmarkStart w:id="51" w:name="_GoBack"/>
      <w:bookmarkEnd w:id="51"/>
    </w:p>
    <w:p w14:paraId="182D3902" w14:textId="77777777" w:rsidR="00836E66" w:rsidRDefault="00836E6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It is up to eNB configuration whether the resources used for EDT indication are new (N)PRACH resources, dedicated resources within the existing physical resources or shared resources between legacy UEs and UEs using EDT.</w:t>
      </w:r>
    </w:p>
    <w:p w14:paraId="19F0B3EE" w14:textId="77777777" w:rsidR="00836E66" w:rsidRDefault="00836E6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Discuss ways to provide flexible TBS for Msg3 to avoid excessive padding.</w:t>
      </w:r>
    </w:p>
    <w:p w14:paraId="42337FC3" w14:textId="77777777" w:rsidR="00836E66" w:rsidRDefault="00836E6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EDT, maximum TBS of 1000 bits for Msg3 is supported.</w:t>
      </w:r>
    </w:p>
    <w:p w14:paraId="4CB92E8F" w14:textId="77777777" w:rsidR="00836E66" w:rsidRDefault="00836E66">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Discuss what TBS range should be used for Msg3.</w:t>
      </w:r>
    </w:p>
    <w:p w14:paraId="773C122A" w14:textId="77777777" w:rsidR="00836E66" w:rsidRDefault="00836E66">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Consider the configuration options in Section 3 for EDT indication configuration.</w:t>
      </w:r>
    </w:p>
    <w:p w14:paraId="1FD6A91E" w14:textId="77777777" w:rsidR="008E065E" w:rsidRPr="00CE0424" w:rsidRDefault="008E065E" w:rsidP="008E065E">
      <w:pPr>
        <w:rPr>
          <w:b/>
          <w:bCs/>
        </w:rPr>
      </w:pPr>
      <w:r>
        <w:rPr>
          <w:b/>
          <w:bCs/>
        </w:rPr>
        <w:fldChar w:fldCharType="end"/>
      </w:r>
    </w:p>
    <w:p w14:paraId="0922B5E0" w14:textId="77777777" w:rsidR="008E065E" w:rsidRPr="00CE0424" w:rsidRDefault="008E065E" w:rsidP="008E065E">
      <w:pPr>
        <w:rPr>
          <w:b/>
          <w:bCs/>
        </w:rPr>
      </w:pPr>
    </w:p>
    <w:p w14:paraId="13A7FAEA" w14:textId="77777777" w:rsidR="00AB0BC8" w:rsidRPr="00CE0424" w:rsidRDefault="00AB0BC8" w:rsidP="00A04F49">
      <w:pPr>
        <w:rPr>
          <w:b/>
          <w:bCs/>
        </w:rPr>
      </w:pPr>
    </w:p>
    <w:p w14:paraId="2E51A0C0" w14:textId="77777777" w:rsidR="00311702" w:rsidRPr="00CE0424" w:rsidRDefault="00311702" w:rsidP="00AB0BC8"/>
    <w:p w14:paraId="0C90B301" w14:textId="77777777" w:rsidR="00C01F33" w:rsidRPr="00CE0424" w:rsidRDefault="00C01F33" w:rsidP="006E062C"/>
    <w:p w14:paraId="262FEB42" w14:textId="77777777" w:rsidR="00F507D1" w:rsidRPr="00CE0424" w:rsidRDefault="00F507D1" w:rsidP="00CE0424">
      <w:pPr>
        <w:pStyle w:val="Heading1"/>
      </w:pPr>
      <w:bookmarkStart w:id="52" w:name="_In-sequence_SDU_delivery"/>
      <w:bookmarkEnd w:id="52"/>
      <w:r w:rsidRPr="00CE0424">
        <w:t>References</w:t>
      </w:r>
    </w:p>
    <w:p w14:paraId="6A6D0320" w14:textId="7A005097" w:rsidR="00613A5A" w:rsidRDefault="003B4FBF" w:rsidP="00311702">
      <w:pPr>
        <w:pStyle w:val="Reference"/>
      </w:pPr>
      <w:bookmarkStart w:id="53" w:name="_Ref498592637"/>
      <w:bookmarkStart w:id="54" w:name="_Ref498641370"/>
      <w:bookmarkStart w:id="55" w:name="_Ref174151459"/>
      <w:bookmarkStart w:id="56" w:name="_Ref189809556"/>
      <w:bookmarkEnd w:id="53"/>
      <w:r>
        <w:t xml:space="preserve">R2-1713057, </w:t>
      </w:r>
      <w:r w:rsidR="00D2299C">
        <w:t>“R</w:t>
      </w:r>
      <w:r>
        <w:t>eport on email discussion [99bis#53] EDT indication via PRACH,</w:t>
      </w:r>
      <w:r w:rsidR="00F65F71">
        <w:t>”</w:t>
      </w:r>
      <w:r>
        <w:t xml:space="preserve"> Ericsson, RAN2#100</w:t>
      </w:r>
      <w:bookmarkEnd w:id="54"/>
    </w:p>
    <w:p w14:paraId="1760F7CE" w14:textId="7439B041" w:rsidR="005F3025" w:rsidRPr="00CE0424" w:rsidRDefault="003B4FBF" w:rsidP="00311702">
      <w:pPr>
        <w:pStyle w:val="Reference"/>
      </w:pPr>
      <w:r>
        <w:lastRenderedPageBreak/>
        <w:t>R2-1713055, “Remaining issues in early data transmission over UP,” Ericsson, RAN2#100</w:t>
      </w:r>
    </w:p>
    <w:bookmarkEnd w:id="55"/>
    <w:bookmarkEnd w:id="56"/>
    <w:p w14:paraId="1FBB77C9" w14:textId="062DAC44" w:rsidR="003B4FBF" w:rsidRDefault="003B4FBF" w:rsidP="00BC2C15">
      <w:pPr>
        <w:pStyle w:val="Reference"/>
      </w:pPr>
      <w:r>
        <w:t>R2-1713056, “Remaining issues in early data transmission over NAS,” Ericsson, RAN2#100</w:t>
      </w:r>
    </w:p>
    <w:p w14:paraId="424C9B5F" w14:textId="0631E30B" w:rsidR="00AD5FEF" w:rsidRPr="003B4FBF" w:rsidRDefault="00583766" w:rsidP="00583766">
      <w:pPr>
        <w:pStyle w:val="Reference"/>
      </w:pPr>
      <w:r w:rsidRPr="00583766">
        <w:rPr>
          <w:rFonts w:eastAsia="Malgun Gothic" w:cs="Arial"/>
          <w:bCs/>
          <w:szCs w:val="24"/>
        </w:rPr>
        <w:t>R2-1712114</w:t>
      </w:r>
      <w:r w:rsidR="003B4FBF" w:rsidRPr="003B4FBF">
        <w:rPr>
          <w:rFonts w:eastAsia="Malgun Gothic"/>
        </w:rPr>
        <w:t>, “LS on agreements on early data transmission during random access procedure for NB-IoT and BL/CE UEs in Rel-15</w:t>
      </w:r>
      <w:r w:rsidR="003B4FBF">
        <w:rPr>
          <w:rFonts w:eastAsia="Malgun Gothic"/>
        </w:rPr>
        <w:t>”, LS from RAN1 to RAN2, RAN2#</w:t>
      </w:r>
      <w:bookmarkStart w:id="57" w:name="_Ref498616489"/>
      <w:bookmarkEnd w:id="57"/>
      <w:r w:rsidR="00F245AE">
        <w:rPr>
          <w:rFonts w:eastAsia="Malgun Gothic"/>
        </w:rPr>
        <w:t>100</w:t>
      </w:r>
    </w:p>
    <w:p w14:paraId="3A6747D4" w14:textId="62BD35E2" w:rsidR="00124986" w:rsidRDefault="00124986" w:rsidP="00FC0D09">
      <w:pPr>
        <w:pStyle w:val="Reference"/>
      </w:pPr>
      <w:bookmarkStart w:id="58" w:name="_Ref498627981"/>
      <w:r>
        <w:t>R2-1710523, “General aspects of early data transmission,” Ericsson, RAN2#99bis</w:t>
      </w:r>
      <w:bookmarkEnd w:id="58"/>
    </w:p>
    <w:p w14:paraId="0FC8FEDD" w14:textId="4707C6B6" w:rsidR="009E626F" w:rsidRPr="00C315D6" w:rsidRDefault="009E626F" w:rsidP="009E626F">
      <w:pPr>
        <w:pStyle w:val="Reference"/>
        <w:rPr>
          <w:lang w:val="en-US"/>
        </w:rPr>
      </w:pPr>
      <w:bookmarkStart w:id="59" w:name="_Ref494302850"/>
      <w:bookmarkStart w:id="60" w:name="_Ref498644066"/>
      <w:r w:rsidRPr="00C315D6">
        <w:t>R2-1708447</w:t>
      </w:r>
      <w:r w:rsidRPr="00B15D26">
        <w:rPr>
          <w:lang w:val="en-US"/>
        </w:rPr>
        <w:t xml:space="preserve">, “UL small data transmission use cases and requirements”, </w:t>
      </w:r>
      <w:r>
        <w:rPr>
          <w:lang w:val="en-US"/>
        </w:rPr>
        <w:t>Veolia</w:t>
      </w:r>
      <w:bookmarkEnd w:id="59"/>
      <w:r>
        <w:t>, RAN2#99</w:t>
      </w:r>
      <w:bookmarkEnd w:id="60"/>
    </w:p>
    <w:sectPr w:rsidR="009E626F" w:rsidRPr="00C315D6">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B997D" w14:textId="77777777" w:rsidR="002B0180" w:rsidRDefault="002B0180">
      <w:r>
        <w:separator/>
      </w:r>
    </w:p>
  </w:endnote>
  <w:endnote w:type="continuationSeparator" w:id="0">
    <w:p w14:paraId="3BCF456B" w14:textId="77777777" w:rsidR="002B0180" w:rsidRDefault="002B0180">
      <w:r>
        <w:continuationSeparator/>
      </w:r>
    </w:p>
  </w:endnote>
  <w:endnote w:type="continuationNotice" w:id="1">
    <w:p w14:paraId="33EEE9A7" w14:textId="77777777" w:rsidR="002B0180" w:rsidRDefault="002B01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Yu Mincho">
    <w:altName w:val="MS Mincho"/>
    <w:charset w:val="80"/>
    <w:family w:val="roman"/>
    <w:pitch w:val="variable"/>
    <w:sig w:usb0="800002E7" w:usb1="2AC7FCFF" w:usb2="00000012" w:usb3="00000000" w:csb0="0002009F" w:csb1="00000000"/>
  </w:font>
  <w:font w:name="DengXian">
    <w:altName w:val="Meiryo"/>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EA769" w14:textId="77777777" w:rsidR="00B16D23" w:rsidRDefault="00B16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41903" w14:textId="7B6E5A1E" w:rsidR="00FC0D09" w:rsidRDefault="00FC0D0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36E6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6E66">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5B22F" w14:textId="77777777" w:rsidR="00B16D23" w:rsidRDefault="00B16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A8805" w14:textId="77777777" w:rsidR="002B0180" w:rsidRDefault="002B0180">
      <w:r>
        <w:separator/>
      </w:r>
    </w:p>
  </w:footnote>
  <w:footnote w:type="continuationSeparator" w:id="0">
    <w:p w14:paraId="3F48D605" w14:textId="77777777" w:rsidR="002B0180" w:rsidRDefault="002B0180">
      <w:r>
        <w:continuationSeparator/>
      </w:r>
    </w:p>
  </w:footnote>
  <w:footnote w:type="continuationNotice" w:id="1">
    <w:p w14:paraId="157498BD" w14:textId="77777777" w:rsidR="002B0180" w:rsidRDefault="002B01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CA169" w14:textId="77777777" w:rsidR="00FC0D09" w:rsidRDefault="00FC0D0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61DFC" w14:textId="77777777" w:rsidR="00B16D23" w:rsidRDefault="00B16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BC9D6" w14:textId="77777777" w:rsidR="00B16D23" w:rsidRDefault="00B16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075ED9"/>
    <w:multiLevelType w:val="hybridMultilevel"/>
    <w:tmpl w:val="CEF41FB8"/>
    <w:lvl w:ilvl="0" w:tplc="4038069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94C28"/>
    <w:multiLevelType w:val="hybridMultilevel"/>
    <w:tmpl w:val="D906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E51F2A"/>
    <w:multiLevelType w:val="hybridMultilevel"/>
    <w:tmpl w:val="A0CAE2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224AA"/>
    <w:multiLevelType w:val="hybridMultilevel"/>
    <w:tmpl w:val="AEEC0214"/>
    <w:lvl w:ilvl="0" w:tplc="C63CA1C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8E1972"/>
    <w:multiLevelType w:val="hybridMultilevel"/>
    <w:tmpl w:val="D0A4A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F475208"/>
    <w:multiLevelType w:val="hybridMultilevel"/>
    <w:tmpl w:val="7026F6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1701D7E"/>
    <w:multiLevelType w:val="hybridMultilevel"/>
    <w:tmpl w:val="5BF41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A55276"/>
    <w:multiLevelType w:val="hybridMultilevel"/>
    <w:tmpl w:val="5FDABA0A"/>
    <w:lvl w:ilvl="0" w:tplc="D33EA76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9"/>
  </w:num>
  <w:num w:numId="6">
    <w:abstractNumId w:val="13"/>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18"/>
  </w:num>
  <w:num w:numId="17">
    <w:abstractNumId w:val="21"/>
  </w:num>
  <w:num w:numId="18">
    <w:abstractNumId w:val="6"/>
  </w:num>
  <w:num w:numId="19">
    <w:abstractNumId w:val="14"/>
  </w:num>
  <w:num w:numId="20">
    <w:abstractNumId w:val="22"/>
  </w:num>
  <w:num w:numId="21">
    <w:abstractNumId w:val="20"/>
  </w:num>
  <w:num w:numId="22">
    <w:abstractNumId w:val="7"/>
  </w:num>
  <w:num w:numId="23">
    <w:abstractNumId w:val="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678"/>
    <w:rsid w:val="000006E1"/>
    <w:rsid w:val="00002A37"/>
    <w:rsid w:val="000039F4"/>
    <w:rsid w:val="00006059"/>
    <w:rsid w:val="00006446"/>
    <w:rsid w:val="00006896"/>
    <w:rsid w:val="00007CDC"/>
    <w:rsid w:val="0001191A"/>
    <w:rsid w:val="00011B28"/>
    <w:rsid w:val="00015D15"/>
    <w:rsid w:val="000251ED"/>
    <w:rsid w:val="0002564D"/>
    <w:rsid w:val="00025ECA"/>
    <w:rsid w:val="000325B8"/>
    <w:rsid w:val="00034720"/>
    <w:rsid w:val="00034C15"/>
    <w:rsid w:val="00036BA1"/>
    <w:rsid w:val="000422E2"/>
    <w:rsid w:val="00042F22"/>
    <w:rsid w:val="000444EF"/>
    <w:rsid w:val="00052A07"/>
    <w:rsid w:val="000534E3"/>
    <w:rsid w:val="0005606A"/>
    <w:rsid w:val="00057117"/>
    <w:rsid w:val="000616E7"/>
    <w:rsid w:val="000637FB"/>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254"/>
    <w:rsid w:val="000B2719"/>
    <w:rsid w:val="000B3A8F"/>
    <w:rsid w:val="000B4AB9"/>
    <w:rsid w:val="000B58C3"/>
    <w:rsid w:val="000B61E9"/>
    <w:rsid w:val="000C165A"/>
    <w:rsid w:val="000C2E19"/>
    <w:rsid w:val="000D0D07"/>
    <w:rsid w:val="000D4797"/>
    <w:rsid w:val="000E0527"/>
    <w:rsid w:val="000E1E92"/>
    <w:rsid w:val="000E65DE"/>
    <w:rsid w:val="000E744C"/>
    <w:rsid w:val="000F06D6"/>
    <w:rsid w:val="000F0EB1"/>
    <w:rsid w:val="000F1106"/>
    <w:rsid w:val="000F3BE9"/>
    <w:rsid w:val="000F3F6C"/>
    <w:rsid w:val="000F6DF3"/>
    <w:rsid w:val="001005FF"/>
    <w:rsid w:val="001062FB"/>
    <w:rsid w:val="001063E6"/>
    <w:rsid w:val="00112FC8"/>
    <w:rsid w:val="00113CF4"/>
    <w:rsid w:val="001153EA"/>
    <w:rsid w:val="00115643"/>
    <w:rsid w:val="00116765"/>
    <w:rsid w:val="001219F5"/>
    <w:rsid w:val="00121A20"/>
    <w:rsid w:val="0012377F"/>
    <w:rsid w:val="00124314"/>
    <w:rsid w:val="00124986"/>
    <w:rsid w:val="00126B4A"/>
    <w:rsid w:val="00132FD0"/>
    <w:rsid w:val="001344C0"/>
    <w:rsid w:val="001346FA"/>
    <w:rsid w:val="00135252"/>
    <w:rsid w:val="001353CA"/>
    <w:rsid w:val="0013574C"/>
    <w:rsid w:val="00137AB5"/>
    <w:rsid w:val="00137F0B"/>
    <w:rsid w:val="00140E44"/>
    <w:rsid w:val="00151E23"/>
    <w:rsid w:val="001526E0"/>
    <w:rsid w:val="001551B5"/>
    <w:rsid w:val="00161F77"/>
    <w:rsid w:val="001659C1"/>
    <w:rsid w:val="00173A8E"/>
    <w:rsid w:val="00177795"/>
    <w:rsid w:val="0018143F"/>
    <w:rsid w:val="00190AC1"/>
    <w:rsid w:val="0019341A"/>
    <w:rsid w:val="00197DF9"/>
    <w:rsid w:val="001A1987"/>
    <w:rsid w:val="001A2564"/>
    <w:rsid w:val="001A6173"/>
    <w:rsid w:val="001A6CBA"/>
    <w:rsid w:val="001B0D97"/>
    <w:rsid w:val="001B5A5D"/>
    <w:rsid w:val="001B6914"/>
    <w:rsid w:val="001C197B"/>
    <w:rsid w:val="001C1CE5"/>
    <w:rsid w:val="001C2E48"/>
    <w:rsid w:val="001C3D2A"/>
    <w:rsid w:val="001D51BA"/>
    <w:rsid w:val="001D6342"/>
    <w:rsid w:val="001D6D53"/>
    <w:rsid w:val="001D7EF9"/>
    <w:rsid w:val="001E3CD5"/>
    <w:rsid w:val="001E58E2"/>
    <w:rsid w:val="001E7AED"/>
    <w:rsid w:val="001F3916"/>
    <w:rsid w:val="001F54C5"/>
    <w:rsid w:val="001F662C"/>
    <w:rsid w:val="001F7074"/>
    <w:rsid w:val="00200490"/>
    <w:rsid w:val="00201F3A"/>
    <w:rsid w:val="00203F96"/>
    <w:rsid w:val="002069B2"/>
    <w:rsid w:val="00207FA3"/>
    <w:rsid w:val="00214106"/>
    <w:rsid w:val="00214DA8"/>
    <w:rsid w:val="00215423"/>
    <w:rsid w:val="002158FA"/>
    <w:rsid w:val="00220600"/>
    <w:rsid w:val="002216ED"/>
    <w:rsid w:val="002224DB"/>
    <w:rsid w:val="0022256E"/>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195"/>
    <w:rsid w:val="00264228"/>
    <w:rsid w:val="00264334"/>
    <w:rsid w:val="0026473E"/>
    <w:rsid w:val="0026614A"/>
    <w:rsid w:val="00266214"/>
    <w:rsid w:val="00267C83"/>
    <w:rsid w:val="0027144F"/>
    <w:rsid w:val="00271F3A"/>
    <w:rsid w:val="00273278"/>
    <w:rsid w:val="00273396"/>
    <w:rsid w:val="002737F4"/>
    <w:rsid w:val="002805F5"/>
    <w:rsid w:val="00280751"/>
    <w:rsid w:val="0028280A"/>
    <w:rsid w:val="00286ACD"/>
    <w:rsid w:val="00287838"/>
    <w:rsid w:val="002907B5"/>
    <w:rsid w:val="00292EB7"/>
    <w:rsid w:val="00296227"/>
    <w:rsid w:val="00296F44"/>
    <w:rsid w:val="0029777D"/>
    <w:rsid w:val="002A055E"/>
    <w:rsid w:val="002A1D4E"/>
    <w:rsid w:val="002A2086"/>
    <w:rsid w:val="002A2869"/>
    <w:rsid w:val="002B0180"/>
    <w:rsid w:val="002B12E0"/>
    <w:rsid w:val="002B24D6"/>
    <w:rsid w:val="002B65D8"/>
    <w:rsid w:val="002C41E6"/>
    <w:rsid w:val="002D071A"/>
    <w:rsid w:val="002D34B2"/>
    <w:rsid w:val="002D7637"/>
    <w:rsid w:val="002E17F2"/>
    <w:rsid w:val="002E7518"/>
    <w:rsid w:val="002E7CAE"/>
    <w:rsid w:val="002F2771"/>
    <w:rsid w:val="002F37A9"/>
    <w:rsid w:val="002F795E"/>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1F25"/>
    <w:rsid w:val="003742AC"/>
    <w:rsid w:val="0037693D"/>
    <w:rsid w:val="00377CE1"/>
    <w:rsid w:val="00385BF0"/>
    <w:rsid w:val="003939FF"/>
    <w:rsid w:val="003A2223"/>
    <w:rsid w:val="003A2A0F"/>
    <w:rsid w:val="003A45A1"/>
    <w:rsid w:val="003A5B0A"/>
    <w:rsid w:val="003A6BAC"/>
    <w:rsid w:val="003A7EF3"/>
    <w:rsid w:val="003B159C"/>
    <w:rsid w:val="003B369F"/>
    <w:rsid w:val="003B36A3"/>
    <w:rsid w:val="003B460B"/>
    <w:rsid w:val="003B4FBF"/>
    <w:rsid w:val="003B7FE5"/>
    <w:rsid w:val="003C11C8"/>
    <w:rsid w:val="003C2702"/>
    <w:rsid w:val="003C7806"/>
    <w:rsid w:val="003D109F"/>
    <w:rsid w:val="003D2478"/>
    <w:rsid w:val="003D3C45"/>
    <w:rsid w:val="003D5B1F"/>
    <w:rsid w:val="003E15FA"/>
    <w:rsid w:val="003E55E4"/>
    <w:rsid w:val="003E74E3"/>
    <w:rsid w:val="003F0506"/>
    <w:rsid w:val="003F05C7"/>
    <w:rsid w:val="003F2CD4"/>
    <w:rsid w:val="003F6BBE"/>
    <w:rsid w:val="004000E8"/>
    <w:rsid w:val="00402E2B"/>
    <w:rsid w:val="0040512B"/>
    <w:rsid w:val="00405CA5"/>
    <w:rsid w:val="00407CD3"/>
    <w:rsid w:val="00410134"/>
    <w:rsid w:val="00410B72"/>
    <w:rsid w:val="00410F18"/>
    <w:rsid w:val="0041263E"/>
    <w:rsid w:val="00413A49"/>
    <w:rsid w:val="00413AAC"/>
    <w:rsid w:val="00414672"/>
    <w:rsid w:val="00421105"/>
    <w:rsid w:val="004236DD"/>
    <w:rsid w:val="004242F4"/>
    <w:rsid w:val="00427248"/>
    <w:rsid w:val="00430AA4"/>
    <w:rsid w:val="004329F4"/>
    <w:rsid w:val="00437447"/>
    <w:rsid w:val="00441A92"/>
    <w:rsid w:val="00444F56"/>
    <w:rsid w:val="00446488"/>
    <w:rsid w:val="00450B92"/>
    <w:rsid w:val="004517AA"/>
    <w:rsid w:val="00452CAC"/>
    <w:rsid w:val="00457565"/>
    <w:rsid w:val="00457B71"/>
    <w:rsid w:val="004669E2"/>
    <w:rsid w:val="00470C31"/>
    <w:rsid w:val="00473372"/>
    <w:rsid w:val="00473473"/>
    <w:rsid w:val="004734D0"/>
    <w:rsid w:val="0047556B"/>
    <w:rsid w:val="00477768"/>
    <w:rsid w:val="00485E5B"/>
    <w:rsid w:val="00492BC5"/>
    <w:rsid w:val="004964F1"/>
    <w:rsid w:val="004966E6"/>
    <w:rsid w:val="00497CC2"/>
    <w:rsid w:val="004A16BC"/>
    <w:rsid w:val="004A2B94"/>
    <w:rsid w:val="004B7C0C"/>
    <w:rsid w:val="004C2DB9"/>
    <w:rsid w:val="004C3898"/>
    <w:rsid w:val="004D36B1"/>
    <w:rsid w:val="004D6759"/>
    <w:rsid w:val="004D7EBD"/>
    <w:rsid w:val="004E2680"/>
    <w:rsid w:val="004E28F9"/>
    <w:rsid w:val="004E462E"/>
    <w:rsid w:val="004E56DC"/>
    <w:rsid w:val="004E76F4"/>
    <w:rsid w:val="004F0B4E"/>
    <w:rsid w:val="004F0B6C"/>
    <w:rsid w:val="004F2078"/>
    <w:rsid w:val="004F3F1F"/>
    <w:rsid w:val="004F4DA3"/>
    <w:rsid w:val="00500EA6"/>
    <w:rsid w:val="00506557"/>
    <w:rsid w:val="0050677A"/>
    <w:rsid w:val="005108D8"/>
    <w:rsid w:val="005116F9"/>
    <w:rsid w:val="00512D7B"/>
    <w:rsid w:val="005153A7"/>
    <w:rsid w:val="005219CF"/>
    <w:rsid w:val="005247A6"/>
    <w:rsid w:val="00526553"/>
    <w:rsid w:val="00534B59"/>
    <w:rsid w:val="00536759"/>
    <w:rsid w:val="00537C62"/>
    <w:rsid w:val="005465B7"/>
    <w:rsid w:val="00546970"/>
    <w:rsid w:val="00554E19"/>
    <w:rsid w:val="0056121F"/>
    <w:rsid w:val="005616C9"/>
    <w:rsid w:val="00572505"/>
    <w:rsid w:val="00582809"/>
    <w:rsid w:val="00583766"/>
    <w:rsid w:val="005870B0"/>
    <w:rsid w:val="0058798C"/>
    <w:rsid w:val="00587CC8"/>
    <w:rsid w:val="005900FA"/>
    <w:rsid w:val="005935A4"/>
    <w:rsid w:val="005948C2"/>
    <w:rsid w:val="00595DCA"/>
    <w:rsid w:val="0059779B"/>
    <w:rsid w:val="005A0105"/>
    <w:rsid w:val="005A10AB"/>
    <w:rsid w:val="005A209A"/>
    <w:rsid w:val="005A3B8D"/>
    <w:rsid w:val="005A3DB2"/>
    <w:rsid w:val="005A662D"/>
    <w:rsid w:val="005A7B05"/>
    <w:rsid w:val="005B35D7"/>
    <w:rsid w:val="005B392A"/>
    <w:rsid w:val="005B3AA3"/>
    <w:rsid w:val="005B591A"/>
    <w:rsid w:val="005B6BC3"/>
    <w:rsid w:val="005B6F83"/>
    <w:rsid w:val="005C74FB"/>
    <w:rsid w:val="005D1602"/>
    <w:rsid w:val="005D5948"/>
    <w:rsid w:val="005E03C7"/>
    <w:rsid w:val="005E385F"/>
    <w:rsid w:val="005E44B8"/>
    <w:rsid w:val="005E5B81"/>
    <w:rsid w:val="005E7D06"/>
    <w:rsid w:val="005F08B6"/>
    <w:rsid w:val="005F2CB1"/>
    <w:rsid w:val="005F3025"/>
    <w:rsid w:val="005F618C"/>
    <w:rsid w:val="005F70BD"/>
    <w:rsid w:val="0060283C"/>
    <w:rsid w:val="00604F14"/>
    <w:rsid w:val="00605BAC"/>
    <w:rsid w:val="00605C14"/>
    <w:rsid w:val="00606B64"/>
    <w:rsid w:val="00611B83"/>
    <w:rsid w:val="00613257"/>
    <w:rsid w:val="00613A5A"/>
    <w:rsid w:val="00613DD5"/>
    <w:rsid w:val="006206D3"/>
    <w:rsid w:val="00620A71"/>
    <w:rsid w:val="00620D80"/>
    <w:rsid w:val="006234A6"/>
    <w:rsid w:val="00630001"/>
    <w:rsid w:val="006311B3"/>
    <w:rsid w:val="00631CA0"/>
    <w:rsid w:val="0063284C"/>
    <w:rsid w:val="00634B53"/>
    <w:rsid w:val="00636398"/>
    <w:rsid w:val="006368D3"/>
    <w:rsid w:val="006377EC"/>
    <w:rsid w:val="0064151F"/>
    <w:rsid w:val="00641533"/>
    <w:rsid w:val="00641631"/>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42D2"/>
    <w:rsid w:val="00695FC2"/>
    <w:rsid w:val="00696949"/>
    <w:rsid w:val="00697052"/>
    <w:rsid w:val="006A2E2A"/>
    <w:rsid w:val="006A46FB"/>
    <w:rsid w:val="006A5E28"/>
    <w:rsid w:val="006A697B"/>
    <w:rsid w:val="006A7AFF"/>
    <w:rsid w:val="006B1816"/>
    <w:rsid w:val="006B2099"/>
    <w:rsid w:val="006B50CF"/>
    <w:rsid w:val="006C03B8"/>
    <w:rsid w:val="006C5EC9"/>
    <w:rsid w:val="006C6059"/>
    <w:rsid w:val="006C7522"/>
    <w:rsid w:val="006D1E26"/>
    <w:rsid w:val="006D6398"/>
    <w:rsid w:val="006D6F08"/>
    <w:rsid w:val="006E062C"/>
    <w:rsid w:val="006E28B7"/>
    <w:rsid w:val="006E3310"/>
    <w:rsid w:val="006E4E39"/>
    <w:rsid w:val="006E565E"/>
    <w:rsid w:val="006E673D"/>
    <w:rsid w:val="006E7D3B"/>
    <w:rsid w:val="006F1B70"/>
    <w:rsid w:val="006F341D"/>
    <w:rsid w:val="006F3CDE"/>
    <w:rsid w:val="006F5643"/>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07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5CEE"/>
    <w:rsid w:val="007925EA"/>
    <w:rsid w:val="00793CD8"/>
    <w:rsid w:val="00795C92"/>
    <w:rsid w:val="00796231"/>
    <w:rsid w:val="007A02CF"/>
    <w:rsid w:val="007A1CB3"/>
    <w:rsid w:val="007A2490"/>
    <w:rsid w:val="007A306F"/>
    <w:rsid w:val="007A43A6"/>
    <w:rsid w:val="007A58A6"/>
    <w:rsid w:val="007A7555"/>
    <w:rsid w:val="007A7D63"/>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679"/>
    <w:rsid w:val="00811FCB"/>
    <w:rsid w:val="00813720"/>
    <w:rsid w:val="008158D6"/>
    <w:rsid w:val="00816DA4"/>
    <w:rsid w:val="00817196"/>
    <w:rsid w:val="008235DB"/>
    <w:rsid w:val="00824AB4"/>
    <w:rsid w:val="0082560D"/>
    <w:rsid w:val="00825C42"/>
    <w:rsid w:val="00825D25"/>
    <w:rsid w:val="00827D6F"/>
    <w:rsid w:val="00836E66"/>
    <w:rsid w:val="008376AC"/>
    <w:rsid w:val="00841776"/>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5C56"/>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B99"/>
    <w:rsid w:val="008D6D1A"/>
    <w:rsid w:val="008E065E"/>
    <w:rsid w:val="008E0927"/>
    <w:rsid w:val="008E1909"/>
    <w:rsid w:val="008F1EAB"/>
    <w:rsid w:val="008F2C14"/>
    <w:rsid w:val="008F33DC"/>
    <w:rsid w:val="008F477F"/>
    <w:rsid w:val="00902350"/>
    <w:rsid w:val="0090336B"/>
    <w:rsid w:val="009053AA"/>
    <w:rsid w:val="00906939"/>
    <w:rsid w:val="00910906"/>
    <w:rsid w:val="00910B7D"/>
    <w:rsid w:val="00911DFB"/>
    <w:rsid w:val="009139D9"/>
    <w:rsid w:val="00914AD8"/>
    <w:rsid w:val="00914DB8"/>
    <w:rsid w:val="00916079"/>
    <w:rsid w:val="00917CE9"/>
    <w:rsid w:val="00920BF2"/>
    <w:rsid w:val="00922010"/>
    <w:rsid w:val="00925ED1"/>
    <w:rsid w:val="00931BD9"/>
    <w:rsid w:val="00933F23"/>
    <w:rsid w:val="009368F3"/>
    <w:rsid w:val="009407B1"/>
    <w:rsid w:val="00941636"/>
    <w:rsid w:val="00943742"/>
    <w:rsid w:val="00945C05"/>
    <w:rsid w:val="00946945"/>
    <w:rsid w:val="00947713"/>
    <w:rsid w:val="00947B5B"/>
    <w:rsid w:val="00950DE7"/>
    <w:rsid w:val="00953920"/>
    <w:rsid w:val="00953D47"/>
    <w:rsid w:val="0095681E"/>
    <w:rsid w:val="009572D4"/>
    <w:rsid w:val="00961921"/>
    <w:rsid w:val="0096430A"/>
    <w:rsid w:val="0096554B"/>
    <w:rsid w:val="0096584A"/>
    <w:rsid w:val="00971F08"/>
    <w:rsid w:val="009748D3"/>
    <w:rsid w:val="0097603D"/>
    <w:rsid w:val="00976949"/>
    <w:rsid w:val="00980477"/>
    <w:rsid w:val="00984F82"/>
    <w:rsid w:val="00985253"/>
    <w:rsid w:val="009853B3"/>
    <w:rsid w:val="00990630"/>
    <w:rsid w:val="00991761"/>
    <w:rsid w:val="00994DCA"/>
    <w:rsid w:val="009960EC"/>
    <w:rsid w:val="009970DD"/>
    <w:rsid w:val="009A0FBA"/>
    <w:rsid w:val="009A1601"/>
    <w:rsid w:val="009A462D"/>
    <w:rsid w:val="009A5A64"/>
    <w:rsid w:val="009A5CBA"/>
    <w:rsid w:val="009A5CF5"/>
    <w:rsid w:val="009B1F30"/>
    <w:rsid w:val="009B3AC2"/>
    <w:rsid w:val="009B4DF4"/>
    <w:rsid w:val="009B564E"/>
    <w:rsid w:val="009B7A96"/>
    <w:rsid w:val="009B7E87"/>
    <w:rsid w:val="009C403E"/>
    <w:rsid w:val="009D4FF0"/>
    <w:rsid w:val="009D6B33"/>
    <w:rsid w:val="009D703C"/>
    <w:rsid w:val="009D718F"/>
    <w:rsid w:val="009E068F"/>
    <w:rsid w:val="009E14E0"/>
    <w:rsid w:val="009E35DB"/>
    <w:rsid w:val="009E47A3"/>
    <w:rsid w:val="009E626F"/>
    <w:rsid w:val="009F08F3"/>
    <w:rsid w:val="009F3093"/>
    <w:rsid w:val="009F344F"/>
    <w:rsid w:val="009F5263"/>
    <w:rsid w:val="00A048A8"/>
    <w:rsid w:val="00A04F49"/>
    <w:rsid w:val="00A052AB"/>
    <w:rsid w:val="00A13E54"/>
    <w:rsid w:val="00A17F63"/>
    <w:rsid w:val="00A2052C"/>
    <w:rsid w:val="00A2193B"/>
    <w:rsid w:val="00A2351A"/>
    <w:rsid w:val="00A264A9"/>
    <w:rsid w:val="00A27785"/>
    <w:rsid w:val="00A30187"/>
    <w:rsid w:val="00A3448A"/>
    <w:rsid w:val="00A36297"/>
    <w:rsid w:val="00A41E2B"/>
    <w:rsid w:val="00A45B74"/>
    <w:rsid w:val="00A52E1D"/>
    <w:rsid w:val="00A54FB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DB0"/>
    <w:rsid w:val="00AA167D"/>
    <w:rsid w:val="00AA1ED6"/>
    <w:rsid w:val="00AA3E0E"/>
    <w:rsid w:val="00AA51D6"/>
    <w:rsid w:val="00AA5BDF"/>
    <w:rsid w:val="00AB0BC8"/>
    <w:rsid w:val="00AB11CA"/>
    <w:rsid w:val="00AB14D9"/>
    <w:rsid w:val="00AB4AB8"/>
    <w:rsid w:val="00AB655E"/>
    <w:rsid w:val="00AC007F"/>
    <w:rsid w:val="00AC2ECD"/>
    <w:rsid w:val="00AC3119"/>
    <w:rsid w:val="00AC49FB"/>
    <w:rsid w:val="00AC5A10"/>
    <w:rsid w:val="00AD0AA3"/>
    <w:rsid w:val="00AD3F94"/>
    <w:rsid w:val="00AD4A5A"/>
    <w:rsid w:val="00AD5FEF"/>
    <w:rsid w:val="00AE27AC"/>
    <w:rsid w:val="00AE3743"/>
    <w:rsid w:val="00AE40E0"/>
    <w:rsid w:val="00AE4DBA"/>
    <w:rsid w:val="00AE4F07"/>
    <w:rsid w:val="00AF18FA"/>
    <w:rsid w:val="00AF1C5D"/>
    <w:rsid w:val="00AF3A22"/>
    <w:rsid w:val="00AF42D7"/>
    <w:rsid w:val="00AF6157"/>
    <w:rsid w:val="00B006FE"/>
    <w:rsid w:val="00B007CB"/>
    <w:rsid w:val="00B02AA9"/>
    <w:rsid w:val="00B02FA3"/>
    <w:rsid w:val="00B05084"/>
    <w:rsid w:val="00B157F9"/>
    <w:rsid w:val="00B16D23"/>
    <w:rsid w:val="00B20256"/>
    <w:rsid w:val="00B20D09"/>
    <w:rsid w:val="00B2763F"/>
    <w:rsid w:val="00B27AAC"/>
    <w:rsid w:val="00B30929"/>
    <w:rsid w:val="00B37042"/>
    <w:rsid w:val="00B372AA"/>
    <w:rsid w:val="00B40445"/>
    <w:rsid w:val="00B41888"/>
    <w:rsid w:val="00B44A83"/>
    <w:rsid w:val="00B45A52"/>
    <w:rsid w:val="00B46175"/>
    <w:rsid w:val="00B6188F"/>
    <w:rsid w:val="00B661A7"/>
    <w:rsid w:val="00B664C7"/>
    <w:rsid w:val="00B739F6"/>
    <w:rsid w:val="00B755D0"/>
    <w:rsid w:val="00B81A6C"/>
    <w:rsid w:val="00B842D4"/>
    <w:rsid w:val="00B85DE5"/>
    <w:rsid w:val="00B90F73"/>
    <w:rsid w:val="00B91108"/>
    <w:rsid w:val="00B93B59"/>
    <w:rsid w:val="00B9406A"/>
    <w:rsid w:val="00BA2280"/>
    <w:rsid w:val="00BA2A08"/>
    <w:rsid w:val="00BA56D2"/>
    <w:rsid w:val="00BA76E0"/>
    <w:rsid w:val="00BB2A25"/>
    <w:rsid w:val="00BB51E9"/>
    <w:rsid w:val="00BC0FDC"/>
    <w:rsid w:val="00BC2C15"/>
    <w:rsid w:val="00BC3053"/>
    <w:rsid w:val="00BC3783"/>
    <w:rsid w:val="00BC4D2E"/>
    <w:rsid w:val="00BD03AD"/>
    <w:rsid w:val="00BD0DFA"/>
    <w:rsid w:val="00BD48AC"/>
    <w:rsid w:val="00BD5F1A"/>
    <w:rsid w:val="00BE1234"/>
    <w:rsid w:val="00BE2FA6"/>
    <w:rsid w:val="00BE333F"/>
    <w:rsid w:val="00BE7406"/>
    <w:rsid w:val="00BE7603"/>
    <w:rsid w:val="00BF3279"/>
    <w:rsid w:val="00BF74C7"/>
    <w:rsid w:val="00C00B75"/>
    <w:rsid w:val="00C015F1"/>
    <w:rsid w:val="00C017E8"/>
    <w:rsid w:val="00C01F33"/>
    <w:rsid w:val="00C02CC6"/>
    <w:rsid w:val="00C040F7"/>
    <w:rsid w:val="00C041B0"/>
    <w:rsid w:val="00C044AB"/>
    <w:rsid w:val="00C05706"/>
    <w:rsid w:val="00C07377"/>
    <w:rsid w:val="00C10478"/>
    <w:rsid w:val="00C12107"/>
    <w:rsid w:val="00C14D4B"/>
    <w:rsid w:val="00C154BB"/>
    <w:rsid w:val="00C16E04"/>
    <w:rsid w:val="00C24345"/>
    <w:rsid w:val="00C279B5"/>
    <w:rsid w:val="00C27C45"/>
    <w:rsid w:val="00C315D6"/>
    <w:rsid w:val="00C34678"/>
    <w:rsid w:val="00C3719D"/>
    <w:rsid w:val="00C54995"/>
    <w:rsid w:val="00C54D41"/>
    <w:rsid w:val="00C56350"/>
    <w:rsid w:val="00C60783"/>
    <w:rsid w:val="00C62C13"/>
    <w:rsid w:val="00C64672"/>
    <w:rsid w:val="00C70697"/>
    <w:rsid w:val="00C71276"/>
    <w:rsid w:val="00C72EF4"/>
    <w:rsid w:val="00C75D2F"/>
    <w:rsid w:val="00C767BE"/>
    <w:rsid w:val="00C76E3C"/>
    <w:rsid w:val="00C81568"/>
    <w:rsid w:val="00C81AE4"/>
    <w:rsid w:val="00C9027A"/>
    <w:rsid w:val="00C9068E"/>
    <w:rsid w:val="00C91DDE"/>
    <w:rsid w:val="00C93C4B"/>
    <w:rsid w:val="00C944AB"/>
    <w:rsid w:val="00C95B40"/>
    <w:rsid w:val="00CA1ED8"/>
    <w:rsid w:val="00CB1F63"/>
    <w:rsid w:val="00CB4A6C"/>
    <w:rsid w:val="00CB7170"/>
    <w:rsid w:val="00CC040E"/>
    <w:rsid w:val="00CC111F"/>
    <w:rsid w:val="00CC2011"/>
    <w:rsid w:val="00CC36E5"/>
    <w:rsid w:val="00CC3EA0"/>
    <w:rsid w:val="00CC7B45"/>
    <w:rsid w:val="00CD1188"/>
    <w:rsid w:val="00CD2ED1"/>
    <w:rsid w:val="00CD337B"/>
    <w:rsid w:val="00CE0424"/>
    <w:rsid w:val="00CE7561"/>
    <w:rsid w:val="00CF1354"/>
    <w:rsid w:val="00CF3B1F"/>
    <w:rsid w:val="00CF3BF6"/>
    <w:rsid w:val="00CF5AD6"/>
    <w:rsid w:val="00CF625B"/>
    <w:rsid w:val="00CF687E"/>
    <w:rsid w:val="00D0349B"/>
    <w:rsid w:val="00D10249"/>
    <w:rsid w:val="00D115C3"/>
    <w:rsid w:val="00D11897"/>
    <w:rsid w:val="00D13135"/>
    <w:rsid w:val="00D13E4E"/>
    <w:rsid w:val="00D2299C"/>
    <w:rsid w:val="00D239A7"/>
    <w:rsid w:val="00D23F47"/>
    <w:rsid w:val="00D36E71"/>
    <w:rsid w:val="00D37D87"/>
    <w:rsid w:val="00D40B33"/>
    <w:rsid w:val="00D4318F"/>
    <w:rsid w:val="00D438BF"/>
    <w:rsid w:val="00D440F8"/>
    <w:rsid w:val="00D50F97"/>
    <w:rsid w:val="00D546FF"/>
    <w:rsid w:val="00D55AD5"/>
    <w:rsid w:val="00D576CA"/>
    <w:rsid w:val="00D5784D"/>
    <w:rsid w:val="00D61AF5"/>
    <w:rsid w:val="00D61C3D"/>
    <w:rsid w:val="00D62D2D"/>
    <w:rsid w:val="00D652B5"/>
    <w:rsid w:val="00D66155"/>
    <w:rsid w:val="00D67CE2"/>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4BC1"/>
    <w:rsid w:val="00DC53EF"/>
    <w:rsid w:val="00DC6A32"/>
    <w:rsid w:val="00DE3D86"/>
    <w:rsid w:val="00DE5608"/>
    <w:rsid w:val="00DE58D0"/>
    <w:rsid w:val="00DE654F"/>
    <w:rsid w:val="00DF0B6E"/>
    <w:rsid w:val="00DF15E0"/>
    <w:rsid w:val="00DF37A0"/>
    <w:rsid w:val="00E110E7"/>
    <w:rsid w:val="00E11B20"/>
    <w:rsid w:val="00E14955"/>
    <w:rsid w:val="00E17FA2"/>
    <w:rsid w:val="00E22330"/>
    <w:rsid w:val="00E30B5A"/>
    <w:rsid w:val="00E3123D"/>
    <w:rsid w:val="00E31461"/>
    <w:rsid w:val="00E31D43"/>
    <w:rsid w:val="00E32608"/>
    <w:rsid w:val="00E34188"/>
    <w:rsid w:val="00E34B6E"/>
    <w:rsid w:val="00E352B7"/>
    <w:rsid w:val="00E35559"/>
    <w:rsid w:val="00E3723A"/>
    <w:rsid w:val="00E37860"/>
    <w:rsid w:val="00E446F1"/>
    <w:rsid w:val="00E46886"/>
    <w:rsid w:val="00E47AEF"/>
    <w:rsid w:val="00E53B75"/>
    <w:rsid w:val="00E54E3B"/>
    <w:rsid w:val="00E57565"/>
    <w:rsid w:val="00E575EF"/>
    <w:rsid w:val="00E60B57"/>
    <w:rsid w:val="00E63838"/>
    <w:rsid w:val="00E64434"/>
    <w:rsid w:val="00E67C51"/>
    <w:rsid w:val="00E72EFC"/>
    <w:rsid w:val="00E758EC"/>
    <w:rsid w:val="00E77528"/>
    <w:rsid w:val="00E77E18"/>
    <w:rsid w:val="00E8234C"/>
    <w:rsid w:val="00E83AA9"/>
    <w:rsid w:val="00E85928"/>
    <w:rsid w:val="00E87822"/>
    <w:rsid w:val="00E90395"/>
    <w:rsid w:val="00E90E49"/>
    <w:rsid w:val="00E917F9"/>
    <w:rsid w:val="00E9291C"/>
    <w:rsid w:val="00E93324"/>
    <w:rsid w:val="00E93FFE"/>
    <w:rsid w:val="00E94F8A"/>
    <w:rsid w:val="00EA050E"/>
    <w:rsid w:val="00EA08B8"/>
    <w:rsid w:val="00EA37FC"/>
    <w:rsid w:val="00EA7A41"/>
    <w:rsid w:val="00EB077B"/>
    <w:rsid w:val="00EB4EA2"/>
    <w:rsid w:val="00EC27C6"/>
    <w:rsid w:val="00EC4207"/>
    <w:rsid w:val="00EC547E"/>
    <w:rsid w:val="00EC5653"/>
    <w:rsid w:val="00EC71CE"/>
    <w:rsid w:val="00ED1006"/>
    <w:rsid w:val="00EF18FE"/>
    <w:rsid w:val="00EF4184"/>
    <w:rsid w:val="00EF5787"/>
    <w:rsid w:val="00EF60D0"/>
    <w:rsid w:val="00F029CC"/>
    <w:rsid w:val="00F04C71"/>
    <w:rsid w:val="00F0528D"/>
    <w:rsid w:val="00F06C67"/>
    <w:rsid w:val="00F06DFD"/>
    <w:rsid w:val="00F06F8C"/>
    <w:rsid w:val="00F071D1"/>
    <w:rsid w:val="00F07533"/>
    <w:rsid w:val="00F10629"/>
    <w:rsid w:val="00F15FA5"/>
    <w:rsid w:val="00F209B7"/>
    <w:rsid w:val="00F2376F"/>
    <w:rsid w:val="00F243D8"/>
    <w:rsid w:val="00F245AE"/>
    <w:rsid w:val="00F26614"/>
    <w:rsid w:val="00F30828"/>
    <w:rsid w:val="00F313D6"/>
    <w:rsid w:val="00F36D23"/>
    <w:rsid w:val="00F37187"/>
    <w:rsid w:val="00F40F0C"/>
    <w:rsid w:val="00F42C54"/>
    <w:rsid w:val="00F4766C"/>
    <w:rsid w:val="00F507D1"/>
    <w:rsid w:val="00F50FA3"/>
    <w:rsid w:val="00F519CE"/>
    <w:rsid w:val="00F51ADA"/>
    <w:rsid w:val="00F607C5"/>
    <w:rsid w:val="00F60DEA"/>
    <w:rsid w:val="00F6302A"/>
    <w:rsid w:val="00F64C2B"/>
    <w:rsid w:val="00F651BE"/>
    <w:rsid w:val="00F65F71"/>
    <w:rsid w:val="00F67F53"/>
    <w:rsid w:val="00F703BE"/>
    <w:rsid w:val="00F70583"/>
    <w:rsid w:val="00F7096D"/>
    <w:rsid w:val="00F71F69"/>
    <w:rsid w:val="00F72B72"/>
    <w:rsid w:val="00F74BB9"/>
    <w:rsid w:val="00F74CD2"/>
    <w:rsid w:val="00F75582"/>
    <w:rsid w:val="00F76EFA"/>
    <w:rsid w:val="00F804BE"/>
    <w:rsid w:val="00F817CE"/>
    <w:rsid w:val="00F82531"/>
    <w:rsid w:val="00F8456C"/>
    <w:rsid w:val="00F859D8"/>
    <w:rsid w:val="00F868F5"/>
    <w:rsid w:val="00F86C3E"/>
    <w:rsid w:val="00F9056A"/>
    <w:rsid w:val="00F90F8D"/>
    <w:rsid w:val="00F922A9"/>
    <w:rsid w:val="00F92782"/>
    <w:rsid w:val="00F93AA9"/>
    <w:rsid w:val="00F96985"/>
    <w:rsid w:val="00F97838"/>
    <w:rsid w:val="00FA2BB3"/>
    <w:rsid w:val="00FB4C80"/>
    <w:rsid w:val="00FB6A6A"/>
    <w:rsid w:val="00FC06A1"/>
    <w:rsid w:val="00FC0D09"/>
    <w:rsid w:val="00FC6703"/>
    <w:rsid w:val="00FC6915"/>
    <w:rsid w:val="00FC7429"/>
    <w:rsid w:val="00FD07F6"/>
    <w:rsid w:val="00FD1EC8"/>
    <w:rsid w:val="00FD47ED"/>
    <w:rsid w:val="00FD6935"/>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0C4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D7EF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D7E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D7EF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D7EF9"/>
    <w:pPr>
      <w:numPr>
        <w:ilvl w:val="2"/>
      </w:numPr>
      <w:spacing w:before="120"/>
      <w:outlineLvl w:val="2"/>
    </w:pPr>
    <w:rPr>
      <w:sz w:val="28"/>
      <w:szCs w:val="28"/>
    </w:rPr>
  </w:style>
  <w:style w:type="paragraph" w:styleId="Heading4">
    <w:name w:val="heading 4"/>
    <w:basedOn w:val="Heading3"/>
    <w:next w:val="Normal"/>
    <w:qFormat/>
    <w:rsid w:val="001D7EF9"/>
    <w:pPr>
      <w:numPr>
        <w:ilvl w:val="3"/>
      </w:numPr>
      <w:outlineLvl w:val="3"/>
    </w:pPr>
    <w:rPr>
      <w:sz w:val="24"/>
      <w:szCs w:val="24"/>
    </w:rPr>
  </w:style>
  <w:style w:type="paragraph" w:styleId="Heading5">
    <w:name w:val="heading 5"/>
    <w:basedOn w:val="Heading4"/>
    <w:next w:val="Normal"/>
    <w:qFormat/>
    <w:rsid w:val="001D7EF9"/>
    <w:pPr>
      <w:numPr>
        <w:ilvl w:val="4"/>
      </w:numPr>
      <w:outlineLvl w:val="4"/>
    </w:pPr>
    <w:rPr>
      <w:sz w:val="22"/>
      <w:szCs w:val="22"/>
    </w:rPr>
  </w:style>
  <w:style w:type="paragraph" w:styleId="Heading6">
    <w:name w:val="heading 6"/>
    <w:basedOn w:val="Normal"/>
    <w:next w:val="Normal"/>
    <w:qFormat/>
    <w:rsid w:val="001D7EF9"/>
    <w:pPr>
      <w:keepNext/>
      <w:keepLines/>
      <w:numPr>
        <w:ilvl w:val="5"/>
        <w:numId w:val="1"/>
      </w:numPr>
      <w:spacing w:before="120"/>
      <w:outlineLvl w:val="5"/>
    </w:pPr>
    <w:rPr>
      <w:rFonts w:cs="Arial"/>
    </w:rPr>
  </w:style>
  <w:style w:type="paragraph" w:styleId="Heading7">
    <w:name w:val="heading 7"/>
    <w:basedOn w:val="Normal"/>
    <w:next w:val="Normal"/>
    <w:qFormat/>
    <w:rsid w:val="001D7EF9"/>
    <w:pPr>
      <w:keepNext/>
      <w:keepLines/>
      <w:numPr>
        <w:ilvl w:val="6"/>
        <w:numId w:val="1"/>
      </w:numPr>
      <w:spacing w:before="120"/>
      <w:outlineLvl w:val="6"/>
    </w:pPr>
    <w:rPr>
      <w:rFonts w:cs="Arial"/>
    </w:rPr>
  </w:style>
  <w:style w:type="paragraph" w:styleId="Heading8">
    <w:name w:val="heading 8"/>
    <w:basedOn w:val="Heading7"/>
    <w:next w:val="Normal"/>
    <w:qFormat/>
    <w:rsid w:val="001D7EF9"/>
    <w:pPr>
      <w:numPr>
        <w:ilvl w:val="7"/>
      </w:numPr>
      <w:outlineLvl w:val="7"/>
    </w:pPr>
  </w:style>
  <w:style w:type="paragraph" w:styleId="Heading9">
    <w:name w:val="heading 9"/>
    <w:basedOn w:val="Heading8"/>
    <w:next w:val="Normal"/>
    <w:qFormat/>
    <w:rsid w:val="001D7E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7EF9"/>
    <w:pPr>
      <w:spacing w:before="180"/>
      <w:ind w:left="2693" w:hanging="2693"/>
    </w:pPr>
    <w:rPr>
      <w:b w:val="0"/>
      <w:bCs/>
    </w:rPr>
  </w:style>
  <w:style w:type="paragraph" w:styleId="TOC1">
    <w:name w:val="toc 1"/>
    <w:aliases w:val="Observation TOC2"/>
    <w:uiPriority w:val="39"/>
    <w:rsid w:val="001D7EF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D7EF9"/>
    <w:pPr>
      <w:keepNext/>
      <w:keepLines/>
      <w:spacing w:before="180"/>
      <w:jc w:val="center"/>
    </w:pPr>
  </w:style>
  <w:style w:type="paragraph" w:styleId="Caption">
    <w:name w:val="caption"/>
    <w:basedOn w:val="Normal"/>
    <w:next w:val="Normal"/>
    <w:qFormat/>
    <w:rsid w:val="001D7EF9"/>
    <w:pPr>
      <w:spacing w:after="240"/>
      <w:jc w:val="center"/>
    </w:pPr>
    <w:rPr>
      <w:b/>
      <w:bCs/>
    </w:rPr>
  </w:style>
  <w:style w:type="paragraph" w:styleId="TOC5">
    <w:name w:val="toc 5"/>
    <w:aliases w:val="Observation TOC"/>
    <w:basedOn w:val="TOC4"/>
    <w:semiHidden/>
    <w:rsid w:val="001D7EF9"/>
    <w:pPr>
      <w:tabs>
        <w:tab w:val="right" w:pos="1701"/>
      </w:tabs>
      <w:ind w:left="1701" w:hanging="1701"/>
    </w:pPr>
  </w:style>
  <w:style w:type="paragraph" w:styleId="TOC4">
    <w:name w:val="toc 4"/>
    <w:basedOn w:val="TOC3"/>
    <w:semiHidden/>
    <w:rsid w:val="001D7EF9"/>
    <w:pPr>
      <w:ind w:left="1418" w:hanging="1418"/>
    </w:pPr>
  </w:style>
  <w:style w:type="paragraph" w:styleId="TOC3">
    <w:name w:val="toc 3"/>
    <w:basedOn w:val="TOC2"/>
    <w:semiHidden/>
    <w:rsid w:val="001D7EF9"/>
    <w:pPr>
      <w:ind w:left="1134" w:hanging="1134"/>
    </w:pPr>
  </w:style>
  <w:style w:type="paragraph" w:styleId="TOC2">
    <w:name w:val="toc 2"/>
    <w:basedOn w:val="TOC1"/>
    <w:semiHidden/>
    <w:rsid w:val="001D7EF9"/>
    <w:pPr>
      <w:keepNext w:val="0"/>
      <w:spacing w:before="0"/>
      <w:ind w:left="851" w:hanging="851"/>
    </w:pPr>
    <w:rPr>
      <w:szCs w:val="20"/>
    </w:rPr>
  </w:style>
  <w:style w:type="paragraph" w:styleId="Index2">
    <w:name w:val="index 2"/>
    <w:basedOn w:val="Index1"/>
    <w:semiHidden/>
    <w:rsid w:val="001D7EF9"/>
    <w:pPr>
      <w:ind w:left="284"/>
    </w:pPr>
  </w:style>
  <w:style w:type="paragraph" w:styleId="Index1">
    <w:name w:val="index 1"/>
    <w:basedOn w:val="Normal"/>
    <w:semiHidden/>
    <w:rsid w:val="001D7EF9"/>
    <w:pPr>
      <w:keepLines/>
      <w:spacing w:after="0"/>
    </w:pPr>
  </w:style>
  <w:style w:type="paragraph" w:styleId="DocumentMap">
    <w:name w:val="Document Map"/>
    <w:basedOn w:val="Normal"/>
    <w:semiHidden/>
    <w:rsid w:val="001D7EF9"/>
    <w:pPr>
      <w:shd w:val="clear" w:color="auto" w:fill="000080"/>
    </w:pPr>
    <w:rPr>
      <w:rFonts w:ascii="Tahoma" w:hAnsi="Tahoma" w:cs="Tahoma"/>
    </w:rPr>
  </w:style>
  <w:style w:type="paragraph" w:styleId="ListNumber2">
    <w:name w:val="List Number 2"/>
    <w:basedOn w:val="ListNumber"/>
    <w:rsid w:val="001D7EF9"/>
    <w:pPr>
      <w:ind w:left="851"/>
    </w:pPr>
  </w:style>
  <w:style w:type="paragraph" w:styleId="ListNumber">
    <w:name w:val="List Number"/>
    <w:basedOn w:val="List"/>
    <w:rsid w:val="001D7EF9"/>
  </w:style>
  <w:style w:type="paragraph" w:styleId="List">
    <w:name w:val="List"/>
    <w:basedOn w:val="Normal"/>
    <w:rsid w:val="001D7EF9"/>
    <w:pPr>
      <w:ind w:left="568" w:hanging="284"/>
    </w:pPr>
  </w:style>
  <w:style w:type="paragraph" w:styleId="Header">
    <w:name w:val="header"/>
    <w:rsid w:val="001D7EF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D7EF9"/>
    <w:rPr>
      <w:b/>
      <w:bCs/>
      <w:position w:val="6"/>
      <w:sz w:val="16"/>
      <w:szCs w:val="16"/>
    </w:rPr>
  </w:style>
  <w:style w:type="paragraph" w:styleId="FootnoteText">
    <w:name w:val="footnote text"/>
    <w:basedOn w:val="Normal"/>
    <w:semiHidden/>
    <w:rsid w:val="001D7EF9"/>
    <w:pPr>
      <w:keepLines/>
      <w:spacing w:after="0"/>
      <w:ind w:left="454" w:hanging="454"/>
    </w:pPr>
    <w:rPr>
      <w:sz w:val="16"/>
      <w:szCs w:val="16"/>
    </w:rPr>
  </w:style>
  <w:style w:type="paragraph" w:customStyle="1" w:styleId="3GPPHeader">
    <w:name w:val="3GPP_Header"/>
    <w:basedOn w:val="Normal"/>
    <w:rsid w:val="001D7EF9"/>
    <w:pPr>
      <w:tabs>
        <w:tab w:val="left" w:pos="1701"/>
        <w:tab w:val="right" w:pos="9639"/>
      </w:tabs>
      <w:spacing w:after="240"/>
    </w:pPr>
    <w:rPr>
      <w:b/>
      <w:sz w:val="24"/>
    </w:rPr>
  </w:style>
  <w:style w:type="paragraph" w:styleId="TOC9">
    <w:name w:val="toc 9"/>
    <w:basedOn w:val="TOC8"/>
    <w:semiHidden/>
    <w:rsid w:val="001D7EF9"/>
    <w:pPr>
      <w:ind w:left="1418" w:hanging="1418"/>
    </w:pPr>
  </w:style>
  <w:style w:type="paragraph" w:styleId="TOC6">
    <w:name w:val="toc 6"/>
    <w:basedOn w:val="TOC5"/>
    <w:next w:val="Normal"/>
    <w:semiHidden/>
    <w:rsid w:val="001D7EF9"/>
    <w:pPr>
      <w:ind w:left="1985" w:hanging="1985"/>
    </w:pPr>
  </w:style>
  <w:style w:type="paragraph" w:styleId="TOC7">
    <w:name w:val="toc 7"/>
    <w:basedOn w:val="TOC6"/>
    <w:next w:val="Normal"/>
    <w:semiHidden/>
    <w:rsid w:val="001D7EF9"/>
    <w:pPr>
      <w:ind w:left="2268" w:hanging="2268"/>
    </w:pPr>
  </w:style>
  <w:style w:type="paragraph" w:styleId="ListBullet2">
    <w:name w:val="List Bullet 2"/>
    <w:basedOn w:val="ListBullet"/>
    <w:rsid w:val="001D7EF9"/>
    <w:pPr>
      <w:numPr>
        <w:numId w:val="6"/>
      </w:numPr>
    </w:pPr>
  </w:style>
  <w:style w:type="paragraph" w:styleId="ListBullet">
    <w:name w:val="List Bullet"/>
    <w:basedOn w:val="BodyText"/>
    <w:rsid w:val="001D7EF9"/>
    <w:pPr>
      <w:numPr>
        <w:numId w:val="5"/>
      </w:numPr>
    </w:pPr>
  </w:style>
  <w:style w:type="paragraph" w:styleId="ListBullet3">
    <w:name w:val="List Bullet 3"/>
    <w:basedOn w:val="ListBullet2"/>
    <w:rsid w:val="001D7EF9"/>
    <w:pPr>
      <w:numPr>
        <w:numId w:val="7"/>
      </w:numPr>
    </w:pPr>
  </w:style>
  <w:style w:type="paragraph" w:customStyle="1" w:styleId="EQ">
    <w:name w:val="EQ"/>
    <w:basedOn w:val="Normal"/>
    <w:next w:val="Normal"/>
    <w:rsid w:val="001D7EF9"/>
    <w:pPr>
      <w:keepLines/>
      <w:tabs>
        <w:tab w:val="center" w:pos="4536"/>
        <w:tab w:val="right" w:pos="9072"/>
      </w:tabs>
      <w:spacing w:after="180"/>
      <w:jc w:val="left"/>
    </w:pPr>
    <w:rPr>
      <w:noProof/>
      <w:lang w:eastAsia="en-US"/>
    </w:rPr>
  </w:style>
  <w:style w:type="paragraph" w:styleId="List2">
    <w:name w:val="List 2"/>
    <w:basedOn w:val="List"/>
    <w:rsid w:val="001D7EF9"/>
    <w:pPr>
      <w:ind w:left="851"/>
    </w:pPr>
  </w:style>
  <w:style w:type="paragraph" w:styleId="List3">
    <w:name w:val="List 3"/>
    <w:basedOn w:val="List2"/>
    <w:rsid w:val="001D7EF9"/>
    <w:pPr>
      <w:ind w:left="1135"/>
    </w:pPr>
  </w:style>
  <w:style w:type="paragraph" w:styleId="List4">
    <w:name w:val="List 4"/>
    <w:basedOn w:val="List3"/>
    <w:rsid w:val="001D7EF9"/>
    <w:pPr>
      <w:ind w:left="1418"/>
    </w:pPr>
  </w:style>
  <w:style w:type="paragraph" w:styleId="List5">
    <w:name w:val="List 5"/>
    <w:basedOn w:val="List4"/>
    <w:rsid w:val="001D7EF9"/>
    <w:pPr>
      <w:ind w:left="1702"/>
    </w:pPr>
  </w:style>
  <w:style w:type="paragraph" w:customStyle="1" w:styleId="EditorsNote">
    <w:name w:val="Editor's Note"/>
    <w:basedOn w:val="Normal"/>
    <w:rsid w:val="001D7EF9"/>
    <w:pPr>
      <w:keepLines/>
      <w:spacing w:after="180"/>
      <w:ind w:left="1135" w:hanging="851"/>
      <w:jc w:val="left"/>
    </w:pPr>
    <w:rPr>
      <w:color w:val="FF0000"/>
      <w:lang w:eastAsia="en-US"/>
    </w:rPr>
  </w:style>
  <w:style w:type="paragraph" w:styleId="ListBullet4">
    <w:name w:val="List Bullet 4"/>
    <w:basedOn w:val="ListBullet3"/>
    <w:rsid w:val="001D7EF9"/>
    <w:pPr>
      <w:numPr>
        <w:numId w:val="8"/>
      </w:numPr>
    </w:pPr>
  </w:style>
  <w:style w:type="paragraph" w:styleId="ListBullet5">
    <w:name w:val="List Bullet 5"/>
    <w:basedOn w:val="ListBullet4"/>
    <w:rsid w:val="001D7EF9"/>
    <w:pPr>
      <w:numPr>
        <w:numId w:val="4"/>
      </w:numPr>
    </w:pPr>
  </w:style>
  <w:style w:type="paragraph" w:styleId="Footer">
    <w:name w:val="footer"/>
    <w:basedOn w:val="Header"/>
    <w:semiHidden/>
    <w:rsid w:val="001D7EF9"/>
    <w:pPr>
      <w:jc w:val="center"/>
    </w:pPr>
    <w:rPr>
      <w:i/>
      <w:iCs/>
    </w:rPr>
  </w:style>
  <w:style w:type="paragraph" w:customStyle="1" w:styleId="Reference">
    <w:name w:val="Reference"/>
    <w:basedOn w:val="Normal"/>
    <w:rsid w:val="001D7EF9"/>
    <w:pPr>
      <w:numPr>
        <w:numId w:val="2"/>
      </w:numPr>
    </w:pPr>
  </w:style>
  <w:style w:type="paragraph" w:styleId="BalloonText">
    <w:name w:val="Balloon Text"/>
    <w:basedOn w:val="Normal"/>
    <w:semiHidden/>
    <w:rsid w:val="001D7EF9"/>
    <w:rPr>
      <w:rFonts w:ascii="Tahoma" w:hAnsi="Tahoma" w:cs="Tahoma"/>
      <w:sz w:val="16"/>
      <w:szCs w:val="16"/>
    </w:rPr>
  </w:style>
  <w:style w:type="character" w:styleId="PageNumber">
    <w:name w:val="page number"/>
    <w:basedOn w:val="DefaultParagraphFont"/>
    <w:semiHidden/>
    <w:rsid w:val="001D7EF9"/>
  </w:style>
  <w:style w:type="paragraph" w:styleId="BodyText">
    <w:name w:val="Body Text"/>
    <w:basedOn w:val="Normal"/>
    <w:link w:val="BodyTextChar"/>
    <w:rsid w:val="001D7EF9"/>
  </w:style>
  <w:style w:type="character" w:styleId="Hyperlink">
    <w:name w:val="Hyperlink"/>
    <w:uiPriority w:val="99"/>
    <w:rsid w:val="001D7EF9"/>
    <w:rPr>
      <w:color w:val="0000FF"/>
      <w:u w:val="single"/>
      <w:lang w:val="en-GB"/>
    </w:rPr>
  </w:style>
  <w:style w:type="character" w:styleId="FollowedHyperlink">
    <w:name w:val="FollowedHyperlink"/>
    <w:semiHidden/>
    <w:rsid w:val="001D7EF9"/>
    <w:rPr>
      <w:color w:val="FF0000"/>
      <w:u w:val="single"/>
    </w:rPr>
  </w:style>
  <w:style w:type="character" w:styleId="CommentReference">
    <w:name w:val="annotation reference"/>
    <w:semiHidden/>
    <w:rsid w:val="001D7EF9"/>
    <w:rPr>
      <w:sz w:val="16"/>
      <w:szCs w:val="16"/>
    </w:rPr>
  </w:style>
  <w:style w:type="paragraph" w:styleId="CommentText">
    <w:name w:val="annotation text"/>
    <w:basedOn w:val="Normal"/>
    <w:semiHidden/>
    <w:rsid w:val="001D7EF9"/>
  </w:style>
  <w:style w:type="paragraph" w:styleId="CommentSubject">
    <w:name w:val="annotation subject"/>
    <w:basedOn w:val="CommentText"/>
    <w:next w:val="CommentText"/>
    <w:semiHidden/>
    <w:rsid w:val="001D7EF9"/>
    <w:rPr>
      <w:b/>
      <w:bCs/>
    </w:rPr>
  </w:style>
  <w:style w:type="character" w:customStyle="1" w:styleId="Heading1Char">
    <w:name w:val="Heading 1 Char"/>
    <w:link w:val="Heading1"/>
    <w:rsid w:val="001D7EF9"/>
    <w:rPr>
      <w:rFonts w:ascii="Arial" w:hAnsi="Arial" w:cs="Arial"/>
      <w:sz w:val="36"/>
      <w:szCs w:val="36"/>
      <w:lang w:val="en-GB" w:eastAsia="zh-CN"/>
    </w:rPr>
  </w:style>
  <w:style w:type="paragraph" w:customStyle="1" w:styleId="B1">
    <w:name w:val="B1"/>
    <w:basedOn w:val="List"/>
    <w:rsid w:val="001D7EF9"/>
    <w:pPr>
      <w:spacing w:after="180"/>
      <w:jc w:val="left"/>
    </w:pPr>
    <w:rPr>
      <w:lang w:eastAsia="en-US"/>
    </w:rPr>
  </w:style>
  <w:style w:type="paragraph" w:customStyle="1" w:styleId="B2">
    <w:name w:val="B2"/>
    <w:basedOn w:val="List2"/>
    <w:rsid w:val="001D7EF9"/>
    <w:pPr>
      <w:spacing w:after="180"/>
      <w:jc w:val="left"/>
    </w:pPr>
    <w:rPr>
      <w:lang w:eastAsia="en-US"/>
    </w:rPr>
  </w:style>
  <w:style w:type="paragraph" w:customStyle="1" w:styleId="B3">
    <w:name w:val="B3"/>
    <w:basedOn w:val="List3"/>
    <w:rsid w:val="001D7EF9"/>
    <w:pPr>
      <w:spacing w:after="180"/>
      <w:jc w:val="left"/>
    </w:pPr>
    <w:rPr>
      <w:lang w:eastAsia="en-US"/>
    </w:rPr>
  </w:style>
  <w:style w:type="paragraph" w:customStyle="1" w:styleId="B4">
    <w:name w:val="B4"/>
    <w:basedOn w:val="List4"/>
    <w:rsid w:val="001D7EF9"/>
    <w:pPr>
      <w:spacing w:after="180"/>
      <w:jc w:val="left"/>
    </w:pPr>
    <w:rPr>
      <w:lang w:eastAsia="en-US"/>
    </w:rPr>
  </w:style>
  <w:style w:type="paragraph" w:customStyle="1" w:styleId="Proposal">
    <w:name w:val="Proposal"/>
    <w:basedOn w:val="Normal"/>
    <w:rsid w:val="001D7EF9"/>
    <w:pPr>
      <w:numPr>
        <w:numId w:val="3"/>
      </w:numPr>
      <w:tabs>
        <w:tab w:val="clear" w:pos="1304"/>
        <w:tab w:val="left" w:pos="1701"/>
      </w:tabs>
      <w:ind w:left="1701" w:hanging="1701"/>
    </w:pPr>
    <w:rPr>
      <w:b/>
      <w:bCs/>
    </w:rPr>
  </w:style>
  <w:style w:type="character" w:customStyle="1" w:styleId="BodyTextChar">
    <w:name w:val="Body Text Char"/>
    <w:link w:val="BodyText"/>
    <w:rsid w:val="001D7EF9"/>
    <w:rPr>
      <w:rFonts w:ascii="Arial" w:hAnsi="Arial"/>
      <w:lang w:val="en-GB" w:eastAsia="zh-CN"/>
    </w:rPr>
  </w:style>
  <w:style w:type="paragraph" w:customStyle="1" w:styleId="B5">
    <w:name w:val="B5"/>
    <w:basedOn w:val="List5"/>
    <w:rsid w:val="001D7EF9"/>
    <w:pPr>
      <w:spacing w:after="180"/>
      <w:jc w:val="left"/>
    </w:pPr>
    <w:rPr>
      <w:lang w:eastAsia="en-US"/>
    </w:rPr>
  </w:style>
  <w:style w:type="paragraph" w:customStyle="1" w:styleId="EX">
    <w:name w:val="EX"/>
    <w:basedOn w:val="Normal"/>
    <w:rsid w:val="001D7EF9"/>
    <w:pPr>
      <w:keepLines/>
      <w:spacing w:after="180"/>
      <w:ind w:left="1702" w:hanging="1418"/>
      <w:jc w:val="left"/>
    </w:pPr>
    <w:rPr>
      <w:lang w:eastAsia="en-US"/>
    </w:rPr>
  </w:style>
  <w:style w:type="paragraph" w:customStyle="1" w:styleId="EW">
    <w:name w:val="EW"/>
    <w:basedOn w:val="EX"/>
    <w:rsid w:val="001D7EF9"/>
    <w:pPr>
      <w:spacing w:after="0"/>
    </w:pPr>
  </w:style>
  <w:style w:type="paragraph" w:customStyle="1" w:styleId="TAL">
    <w:name w:val="TAL"/>
    <w:basedOn w:val="Normal"/>
    <w:rsid w:val="001D7EF9"/>
    <w:pPr>
      <w:keepNext/>
      <w:keepLines/>
      <w:spacing w:after="0"/>
      <w:jc w:val="left"/>
    </w:pPr>
    <w:rPr>
      <w:sz w:val="18"/>
      <w:lang w:eastAsia="en-US"/>
    </w:rPr>
  </w:style>
  <w:style w:type="paragraph" w:customStyle="1" w:styleId="TAC">
    <w:name w:val="TAC"/>
    <w:basedOn w:val="TAL"/>
    <w:link w:val="TACChar"/>
    <w:rsid w:val="001D7EF9"/>
    <w:pPr>
      <w:jc w:val="center"/>
    </w:pPr>
  </w:style>
  <w:style w:type="paragraph" w:customStyle="1" w:styleId="TAH">
    <w:name w:val="TAH"/>
    <w:basedOn w:val="TAC"/>
    <w:link w:val="TAHCar"/>
    <w:rsid w:val="001D7EF9"/>
    <w:rPr>
      <w:b/>
    </w:rPr>
  </w:style>
  <w:style w:type="paragraph" w:customStyle="1" w:styleId="TAN">
    <w:name w:val="TAN"/>
    <w:basedOn w:val="TAL"/>
    <w:rsid w:val="001D7EF9"/>
    <w:pPr>
      <w:ind w:left="851" w:hanging="851"/>
    </w:pPr>
  </w:style>
  <w:style w:type="paragraph" w:customStyle="1" w:styleId="TAR">
    <w:name w:val="TAR"/>
    <w:basedOn w:val="TAL"/>
    <w:rsid w:val="001D7EF9"/>
    <w:pPr>
      <w:jc w:val="right"/>
    </w:pPr>
  </w:style>
  <w:style w:type="paragraph" w:customStyle="1" w:styleId="TH">
    <w:name w:val="TH"/>
    <w:basedOn w:val="Normal"/>
    <w:link w:val="THChar"/>
    <w:rsid w:val="001D7EF9"/>
    <w:pPr>
      <w:keepNext/>
      <w:keepLines/>
      <w:spacing w:before="60" w:after="180"/>
      <w:jc w:val="center"/>
    </w:pPr>
    <w:rPr>
      <w:b/>
      <w:lang w:eastAsia="en-US"/>
    </w:rPr>
  </w:style>
  <w:style w:type="paragraph" w:customStyle="1" w:styleId="TF">
    <w:name w:val="TF"/>
    <w:basedOn w:val="TH"/>
    <w:rsid w:val="001D7EF9"/>
    <w:pPr>
      <w:keepNext w:val="0"/>
      <w:spacing w:before="0" w:after="240"/>
    </w:pPr>
  </w:style>
  <w:style w:type="paragraph" w:customStyle="1" w:styleId="TT">
    <w:name w:val="TT"/>
    <w:basedOn w:val="Heading1"/>
    <w:next w:val="Normal"/>
    <w:rsid w:val="001D7EF9"/>
    <w:pPr>
      <w:numPr>
        <w:numId w:val="0"/>
      </w:numPr>
      <w:ind w:left="1134" w:hanging="1134"/>
      <w:outlineLvl w:val="9"/>
    </w:pPr>
    <w:rPr>
      <w:rFonts w:cs="Times New Roman"/>
      <w:szCs w:val="20"/>
      <w:lang w:eastAsia="en-US"/>
    </w:rPr>
  </w:style>
  <w:style w:type="paragraph" w:customStyle="1" w:styleId="ZA">
    <w:name w:val="ZA"/>
    <w:rsid w:val="001D7E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7E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7EF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D7EF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D7EF9"/>
  </w:style>
  <w:style w:type="paragraph" w:customStyle="1" w:styleId="ZH">
    <w:name w:val="ZH"/>
    <w:rsid w:val="001D7EF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D7E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D7EF9"/>
    <w:pPr>
      <w:framePr w:hRule="auto" w:wrap="notBeside" w:y="852"/>
    </w:pPr>
    <w:rPr>
      <w:i w:val="0"/>
      <w:sz w:val="40"/>
    </w:rPr>
  </w:style>
  <w:style w:type="paragraph" w:customStyle="1" w:styleId="ZU">
    <w:name w:val="ZU"/>
    <w:rsid w:val="001D7E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D7EF9"/>
    <w:pPr>
      <w:framePr w:wrap="notBeside" w:y="16161"/>
    </w:pPr>
  </w:style>
  <w:style w:type="paragraph" w:customStyle="1" w:styleId="FP">
    <w:name w:val="FP"/>
    <w:basedOn w:val="Normal"/>
    <w:rsid w:val="001D7EF9"/>
    <w:pPr>
      <w:spacing w:after="0"/>
      <w:jc w:val="left"/>
    </w:pPr>
    <w:rPr>
      <w:lang w:eastAsia="en-US"/>
    </w:rPr>
  </w:style>
  <w:style w:type="paragraph" w:customStyle="1" w:styleId="Observation">
    <w:name w:val="Observation"/>
    <w:basedOn w:val="Proposal"/>
    <w:qFormat/>
    <w:rsid w:val="001D7EF9"/>
    <w:pPr>
      <w:numPr>
        <w:numId w:val="13"/>
      </w:numPr>
      <w:ind w:left="1701" w:hanging="1701"/>
    </w:pPr>
  </w:style>
  <w:style w:type="paragraph" w:styleId="TableofFigures">
    <w:name w:val="table of figures"/>
    <w:basedOn w:val="Normal"/>
    <w:next w:val="Normal"/>
    <w:uiPriority w:val="99"/>
    <w:rsid w:val="001D7EF9"/>
    <w:pPr>
      <w:ind w:left="1418" w:hanging="1418"/>
      <w:jc w:val="left"/>
    </w:pPr>
    <w:rPr>
      <w:b/>
    </w:rPr>
  </w:style>
  <w:style w:type="paragraph" w:customStyle="1" w:styleId="Doc-text2">
    <w:name w:val="Doc-text2"/>
    <w:basedOn w:val="Normal"/>
    <w:link w:val="Doc-text2Char"/>
    <w:qFormat/>
    <w:rsid w:val="001D7EF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D7EF9"/>
    <w:rPr>
      <w:rFonts w:ascii="Arial" w:eastAsia="MS Mincho" w:hAnsi="Arial"/>
      <w:szCs w:val="24"/>
      <w:lang w:val="en-GB" w:eastAsia="en-GB"/>
    </w:rPr>
  </w:style>
  <w:style w:type="paragraph" w:styleId="ListParagraph">
    <w:name w:val="List Paragraph"/>
    <w:basedOn w:val="Normal"/>
    <w:uiPriority w:val="34"/>
    <w:qFormat/>
    <w:rsid w:val="000637FB"/>
    <w:pPr>
      <w:ind w:left="720"/>
      <w:contextualSpacing/>
    </w:pPr>
  </w:style>
  <w:style w:type="paragraph" w:styleId="PlainText">
    <w:name w:val="Plain Text"/>
    <w:basedOn w:val="Normal"/>
    <w:link w:val="PlainTextChar"/>
    <w:rsid w:val="00587CC8"/>
    <w:pPr>
      <w:spacing w:after="0"/>
    </w:pPr>
    <w:rPr>
      <w:rFonts w:ascii="Consolas" w:hAnsi="Consolas" w:cs="Consolas"/>
      <w:sz w:val="21"/>
      <w:szCs w:val="21"/>
    </w:rPr>
  </w:style>
  <w:style w:type="character" w:customStyle="1" w:styleId="PlainTextChar">
    <w:name w:val="Plain Text Char"/>
    <w:basedOn w:val="DefaultParagraphFont"/>
    <w:link w:val="PlainText"/>
    <w:rsid w:val="00587CC8"/>
    <w:rPr>
      <w:rFonts w:ascii="Consolas" w:hAnsi="Consolas" w:cs="Consolas"/>
      <w:sz w:val="21"/>
      <w:szCs w:val="21"/>
      <w:lang w:val="en-GB" w:eastAsia="zh-CN"/>
    </w:rPr>
  </w:style>
  <w:style w:type="paragraph" w:customStyle="1" w:styleId="PL">
    <w:name w:val="PL"/>
    <w:link w:val="PLChar"/>
    <w:rsid w:val="007A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noProof/>
      <w:sz w:val="16"/>
    </w:rPr>
  </w:style>
  <w:style w:type="character" w:customStyle="1" w:styleId="PLChar">
    <w:name w:val="PL Char"/>
    <w:link w:val="PL"/>
    <w:rsid w:val="007A2490"/>
    <w:rPr>
      <w:rFonts w:ascii="Courier New" w:eastAsia="Yu Mincho" w:hAnsi="Courier New"/>
      <w:noProof/>
      <w:sz w:val="16"/>
    </w:rPr>
  </w:style>
  <w:style w:type="table" w:styleId="TableGrid">
    <w:name w:val="Table Grid"/>
    <w:basedOn w:val="TableNormal"/>
    <w:rsid w:val="00613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06F8C"/>
    <w:rPr>
      <w:rFonts w:ascii="Arial" w:hAnsi="Arial"/>
      <w:b/>
      <w:lang w:val="en-GB"/>
    </w:rPr>
  </w:style>
  <w:style w:type="character" w:customStyle="1" w:styleId="TACChar">
    <w:name w:val="TAC Char"/>
    <w:link w:val="TAC"/>
    <w:locked/>
    <w:rsid w:val="00F06F8C"/>
    <w:rPr>
      <w:rFonts w:ascii="Arial" w:hAnsi="Arial"/>
      <w:sz w:val="18"/>
      <w:lang w:val="en-GB"/>
    </w:rPr>
  </w:style>
  <w:style w:type="character" w:customStyle="1" w:styleId="TAHCar">
    <w:name w:val="TAH Car"/>
    <w:link w:val="TAH"/>
    <w:locked/>
    <w:rsid w:val="00F06F8C"/>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88935">
      <w:bodyDiv w:val="1"/>
      <w:marLeft w:val="0"/>
      <w:marRight w:val="0"/>
      <w:marTop w:val="0"/>
      <w:marBottom w:val="0"/>
      <w:divBdr>
        <w:top w:val="none" w:sz="0" w:space="0" w:color="auto"/>
        <w:left w:val="none" w:sz="0" w:space="0" w:color="auto"/>
        <w:bottom w:val="none" w:sz="0" w:space="0" w:color="auto"/>
        <w:right w:val="none" w:sz="0" w:space="0" w:color="auto"/>
      </w:divBdr>
    </w:div>
    <w:div w:id="43405413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1998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1ADB822-1A82-4DAC-8F53-A92F3A067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2703</Words>
  <Characters>15410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2017-11-17T04:00:00Z</dcterms:created>
  <dcterms:modified xsi:type="dcterms:W3CDTF">2017-11-17T04:01:00Z</dcterms:modified>
</cp:coreProperties>
</file>